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637" w:tblpY="556"/>
        <w:tblW w:w="6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686"/>
      </w:tblGrid>
      <w:tr w:rsidR="00264223" w:rsidRPr="00054E79" w:rsidTr="00EF28DE">
        <w:trPr>
          <w:trHeight w:val="144"/>
        </w:trPr>
        <w:tc>
          <w:tcPr>
            <w:tcW w:w="2552" w:type="dxa"/>
            <w:vAlign w:val="center"/>
          </w:tcPr>
          <w:p w:rsidR="00264223" w:rsidRPr="00054E79" w:rsidRDefault="00264223" w:rsidP="00EF28DE">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Recurso de Revisión:</w:t>
            </w:r>
          </w:p>
        </w:tc>
        <w:tc>
          <w:tcPr>
            <w:tcW w:w="3686" w:type="dxa"/>
            <w:vAlign w:val="center"/>
          </w:tcPr>
          <w:p w:rsidR="00264223" w:rsidRPr="00054E79" w:rsidRDefault="00EF28DE" w:rsidP="00EF28DE">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04591</w:t>
            </w:r>
            <w:r w:rsidR="008B0418" w:rsidRPr="00054E79">
              <w:rPr>
                <w:rFonts w:ascii="Palatino Linotype" w:eastAsia="Calibri" w:hAnsi="Palatino Linotype" w:cs="Tahoma"/>
                <w:bCs/>
                <w:sz w:val="22"/>
                <w:szCs w:val="22"/>
                <w:lang w:eastAsia="en-US"/>
              </w:rPr>
              <w:t>/INFOEM/IP/RR/2018</w:t>
            </w:r>
          </w:p>
        </w:tc>
      </w:tr>
      <w:tr w:rsidR="00264223" w:rsidRPr="00054E79" w:rsidTr="00EF28DE">
        <w:trPr>
          <w:trHeight w:val="406"/>
        </w:trPr>
        <w:tc>
          <w:tcPr>
            <w:tcW w:w="2552" w:type="dxa"/>
            <w:vAlign w:val="center"/>
          </w:tcPr>
          <w:p w:rsidR="00264223" w:rsidRPr="00054E79" w:rsidRDefault="00264223" w:rsidP="00EF28DE">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Recurrente:</w:t>
            </w:r>
          </w:p>
        </w:tc>
        <w:tc>
          <w:tcPr>
            <w:tcW w:w="3686" w:type="dxa"/>
            <w:vAlign w:val="center"/>
          </w:tcPr>
          <w:p w:rsidR="00264223" w:rsidRPr="00054E79" w:rsidRDefault="00E37317" w:rsidP="00EF28DE">
            <w:pPr>
              <w:tabs>
                <w:tab w:val="right" w:pos="8838"/>
              </w:tabs>
              <w:ind w:right="171"/>
              <w:jc w:val="both"/>
              <w:rPr>
                <w:rFonts w:ascii="Palatino Linotype" w:eastAsia="Calibri" w:hAnsi="Palatino Linotype" w:cs="Tahoma"/>
                <w:sz w:val="22"/>
                <w:szCs w:val="22"/>
                <w:lang w:val="es-MX" w:eastAsia="en-US"/>
              </w:rPr>
            </w:pPr>
            <w:r w:rsidRPr="00E9757B">
              <w:rPr>
                <w:rFonts w:ascii="Palatino Linotype" w:eastAsia="Calibri" w:hAnsi="Palatino Linotype" w:cs="Tahoma"/>
                <w:sz w:val="22"/>
                <w:szCs w:val="22"/>
                <w:highlight w:val="black"/>
                <w:lang w:val="es-MX" w:eastAsia="en-US"/>
              </w:rPr>
              <w:t>XXXXXXXXXXXXX</w:t>
            </w:r>
          </w:p>
        </w:tc>
      </w:tr>
      <w:tr w:rsidR="00264223" w:rsidRPr="00054E79" w:rsidTr="00EF28DE">
        <w:trPr>
          <w:trHeight w:val="283"/>
        </w:trPr>
        <w:tc>
          <w:tcPr>
            <w:tcW w:w="2552" w:type="dxa"/>
            <w:vAlign w:val="center"/>
          </w:tcPr>
          <w:p w:rsidR="00264223" w:rsidRPr="00054E79" w:rsidRDefault="001A1AAB" w:rsidP="00EF28DE">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Sujeto Obligado</w:t>
            </w:r>
            <w:r w:rsidR="00264223" w:rsidRPr="00054E79">
              <w:rPr>
                <w:rFonts w:ascii="Palatino Linotype" w:eastAsia="Calibri" w:hAnsi="Palatino Linotype" w:cs="Tahoma"/>
                <w:b/>
                <w:sz w:val="22"/>
                <w:szCs w:val="22"/>
                <w:lang w:val="es-MX" w:eastAsia="en-US"/>
              </w:rPr>
              <w:t>:</w:t>
            </w:r>
          </w:p>
        </w:tc>
        <w:tc>
          <w:tcPr>
            <w:tcW w:w="3686" w:type="dxa"/>
            <w:vAlign w:val="center"/>
          </w:tcPr>
          <w:p w:rsidR="00264223" w:rsidRPr="00054E79" w:rsidRDefault="009D1E41" w:rsidP="00EF28DE">
            <w:pPr>
              <w:tabs>
                <w:tab w:val="left" w:pos="2834"/>
                <w:tab w:val="right" w:pos="8838"/>
              </w:tabs>
              <w:ind w:right="171"/>
              <w:jc w:val="both"/>
              <w:rPr>
                <w:rFonts w:ascii="Palatino Linotype" w:eastAsia="Calibri" w:hAnsi="Palatino Linotype" w:cs="Tahoma"/>
                <w:b/>
                <w:sz w:val="22"/>
                <w:szCs w:val="22"/>
                <w:lang w:val="es-MX" w:eastAsia="en-US"/>
              </w:rPr>
            </w:pPr>
            <w:r w:rsidRPr="009D1E41">
              <w:rPr>
                <w:rFonts w:ascii="Palatino Linotype" w:eastAsia="Calibri" w:hAnsi="Palatino Linotype" w:cs="Tahoma"/>
                <w:sz w:val="22"/>
                <w:szCs w:val="22"/>
                <w:lang w:val="es-MX" w:eastAsia="en-US"/>
              </w:rPr>
              <w:t>Instituto de Seguridad Social del Estado de México y Municipios</w:t>
            </w:r>
          </w:p>
        </w:tc>
      </w:tr>
      <w:tr w:rsidR="00264223" w:rsidRPr="00054E79" w:rsidTr="00EF28DE">
        <w:trPr>
          <w:trHeight w:val="283"/>
        </w:trPr>
        <w:tc>
          <w:tcPr>
            <w:tcW w:w="2552" w:type="dxa"/>
            <w:vAlign w:val="center"/>
          </w:tcPr>
          <w:p w:rsidR="00264223" w:rsidRPr="00054E79" w:rsidRDefault="00264223" w:rsidP="00EF28DE">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Comisionado Ponente:</w:t>
            </w:r>
          </w:p>
        </w:tc>
        <w:tc>
          <w:tcPr>
            <w:tcW w:w="3686" w:type="dxa"/>
            <w:vAlign w:val="center"/>
          </w:tcPr>
          <w:p w:rsidR="00264223" w:rsidRPr="00054E79" w:rsidRDefault="00264223" w:rsidP="00EF28DE">
            <w:pPr>
              <w:tabs>
                <w:tab w:val="right" w:pos="8838"/>
              </w:tabs>
              <w:ind w:right="171"/>
              <w:jc w:val="both"/>
              <w:rPr>
                <w:rFonts w:ascii="Palatino Linotype" w:eastAsia="Calibri" w:hAnsi="Palatino Linotype" w:cs="Tahoma"/>
                <w:b/>
                <w:sz w:val="22"/>
                <w:szCs w:val="22"/>
                <w:lang w:val="es-MX" w:eastAsia="en-US"/>
              </w:rPr>
            </w:pPr>
            <w:r w:rsidRPr="00054E79">
              <w:rPr>
                <w:rFonts w:ascii="Palatino Linotype" w:eastAsia="Calibri" w:hAnsi="Palatino Linotype" w:cs="Tahoma"/>
                <w:sz w:val="22"/>
                <w:szCs w:val="22"/>
                <w:lang w:val="es-MX" w:eastAsia="en-US"/>
              </w:rPr>
              <w:t>Luis Gustavo Parra Noriega</w:t>
            </w:r>
          </w:p>
        </w:tc>
      </w:tr>
    </w:tbl>
    <w:p w:rsidR="0074285B" w:rsidRPr="00054E79" w:rsidRDefault="00D22B6A" w:rsidP="00806E45">
      <w:pPr>
        <w:spacing w:line="360" w:lineRule="auto"/>
        <w:jc w:val="both"/>
        <w:rPr>
          <w:rFonts w:ascii="Palatino Linotype" w:hAnsi="Palatino Linotype" w:cs="Tahoma"/>
          <w:bCs/>
          <w:sz w:val="22"/>
          <w:szCs w:val="22"/>
        </w:rPr>
      </w:pPr>
      <w:r w:rsidRPr="00054E7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F28DE">
        <w:rPr>
          <w:rFonts w:ascii="Palatino Linotype" w:hAnsi="Palatino Linotype" w:cs="Tahoma"/>
          <w:bCs/>
          <w:sz w:val="22"/>
          <w:szCs w:val="22"/>
        </w:rPr>
        <w:t>trece</w:t>
      </w:r>
      <w:r w:rsidR="00F70349">
        <w:rPr>
          <w:rFonts w:ascii="Palatino Linotype" w:hAnsi="Palatino Linotype" w:cs="Tahoma"/>
          <w:bCs/>
          <w:sz w:val="22"/>
          <w:szCs w:val="22"/>
        </w:rPr>
        <w:t xml:space="preserve"> de </w:t>
      </w:r>
      <w:r w:rsidR="00EF28DE">
        <w:rPr>
          <w:rFonts w:ascii="Palatino Linotype" w:hAnsi="Palatino Linotype" w:cs="Tahoma"/>
          <w:bCs/>
          <w:sz w:val="22"/>
          <w:szCs w:val="22"/>
        </w:rPr>
        <w:t>febre</w:t>
      </w:r>
      <w:r w:rsidR="00F70349">
        <w:rPr>
          <w:rFonts w:ascii="Palatino Linotype" w:hAnsi="Palatino Linotype" w:cs="Tahoma"/>
          <w:bCs/>
          <w:sz w:val="22"/>
          <w:szCs w:val="22"/>
        </w:rPr>
        <w:t>ro de dos mil diecinueve</w:t>
      </w:r>
      <w:r w:rsidRPr="00054E79">
        <w:rPr>
          <w:rFonts w:ascii="Palatino Linotype" w:hAnsi="Palatino Linotype" w:cs="Tahoma"/>
          <w:bCs/>
          <w:sz w:val="22"/>
          <w:szCs w:val="22"/>
        </w:rPr>
        <w:t>.</w:t>
      </w:r>
    </w:p>
    <w:p w:rsidR="00492DCA" w:rsidRPr="00054E79" w:rsidRDefault="00492DCA" w:rsidP="00806E45">
      <w:pPr>
        <w:spacing w:line="360" w:lineRule="auto"/>
        <w:jc w:val="both"/>
        <w:rPr>
          <w:rFonts w:ascii="Palatino Linotype" w:hAnsi="Palatino Linotype"/>
          <w:noProof/>
          <w:sz w:val="22"/>
          <w:szCs w:val="22"/>
          <w:lang w:val="es-ES"/>
        </w:rPr>
      </w:pPr>
    </w:p>
    <w:p w:rsidR="00806E45" w:rsidRPr="00054E79" w:rsidRDefault="00D9652C" w:rsidP="00806E45">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VISTO</w:t>
      </w:r>
      <w:r w:rsidR="00806E45" w:rsidRPr="00054E79">
        <w:rPr>
          <w:rFonts w:ascii="Palatino Linotype" w:eastAsia="Calibri" w:hAnsi="Palatino Linotype" w:cs="Tahoma"/>
          <w:bCs/>
          <w:sz w:val="22"/>
          <w:szCs w:val="22"/>
          <w:lang w:val="es-ES" w:eastAsia="en-US"/>
        </w:rPr>
        <w:t xml:space="preserve"> el expediente conformado con motivo del Recurso de Revisión </w:t>
      </w:r>
      <w:r w:rsidR="00EF28DE">
        <w:rPr>
          <w:rFonts w:ascii="Palatino Linotype" w:eastAsia="Calibri" w:hAnsi="Palatino Linotype" w:cs="Tahoma"/>
          <w:b/>
          <w:bCs/>
          <w:sz w:val="22"/>
          <w:szCs w:val="22"/>
          <w:lang w:val="es-ES" w:eastAsia="en-US"/>
        </w:rPr>
        <w:t>04591</w:t>
      </w:r>
      <w:r w:rsidR="009D1E41" w:rsidRPr="009D1E41">
        <w:rPr>
          <w:rFonts w:ascii="Palatino Linotype" w:eastAsia="Calibri" w:hAnsi="Palatino Linotype" w:cs="Tahoma"/>
          <w:b/>
          <w:bCs/>
          <w:sz w:val="22"/>
          <w:szCs w:val="22"/>
          <w:lang w:val="es-ES" w:eastAsia="en-US"/>
        </w:rPr>
        <w:t>/INFOEM/IP/RR/2018</w:t>
      </w:r>
      <w:r w:rsidR="00806E45" w:rsidRPr="00054E79">
        <w:rPr>
          <w:rFonts w:ascii="Palatino Linotype" w:eastAsia="Calibri" w:hAnsi="Palatino Linotype" w:cs="Tahoma"/>
          <w:bCs/>
          <w:sz w:val="22"/>
          <w:szCs w:val="22"/>
          <w:lang w:val="es-ES" w:eastAsia="en-US"/>
        </w:rPr>
        <w:t>, interpuesto por</w:t>
      </w:r>
      <w:r w:rsidR="00F755E1" w:rsidRPr="00054E79">
        <w:rPr>
          <w:rFonts w:ascii="Palatino Linotype" w:eastAsia="Calibri" w:hAnsi="Palatino Linotype" w:cs="Tahoma"/>
          <w:b/>
          <w:bCs/>
          <w:sz w:val="22"/>
          <w:szCs w:val="22"/>
          <w:lang w:val="es-ES" w:eastAsia="en-US"/>
        </w:rPr>
        <w:t xml:space="preserve"> </w:t>
      </w:r>
      <w:r w:rsidR="00E37317" w:rsidRPr="00E9757B">
        <w:rPr>
          <w:rFonts w:ascii="Palatino Linotype" w:eastAsia="Calibri" w:hAnsi="Palatino Linotype" w:cs="Tahoma"/>
          <w:b/>
          <w:bCs/>
          <w:sz w:val="22"/>
          <w:szCs w:val="22"/>
          <w:highlight w:val="black"/>
          <w:lang w:eastAsia="en-US"/>
        </w:rPr>
        <w:t>XXXXXXXXXXXXX</w:t>
      </w:r>
      <w:r w:rsidR="00F70349">
        <w:rPr>
          <w:rFonts w:ascii="Palatino Linotype" w:eastAsia="Calibri" w:hAnsi="Palatino Linotype" w:cs="Tahoma"/>
          <w:bCs/>
          <w:sz w:val="22"/>
          <w:szCs w:val="22"/>
          <w:lang w:val="es-ES" w:eastAsia="en-US"/>
        </w:rPr>
        <w:t>, en lo sucesivo R</w:t>
      </w:r>
      <w:r w:rsidRPr="00054E79">
        <w:rPr>
          <w:rFonts w:ascii="Palatino Linotype" w:eastAsia="Calibri" w:hAnsi="Palatino Linotype" w:cs="Tahoma"/>
          <w:bCs/>
          <w:sz w:val="22"/>
          <w:szCs w:val="22"/>
          <w:lang w:val="es-ES" w:eastAsia="en-US"/>
        </w:rPr>
        <w:t xml:space="preserve">ecurrente o </w:t>
      </w:r>
      <w:r w:rsidR="001A1AAB" w:rsidRPr="00054E79">
        <w:rPr>
          <w:rFonts w:ascii="Palatino Linotype" w:eastAsia="Calibri" w:hAnsi="Palatino Linotype" w:cs="Tahoma"/>
          <w:bCs/>
          <w:sz w:val="22"/>
          <w:szCs w:val="22"/>
          <w:lang w:val="es-ES" w:eastAsia="en-US"/>
        </w:rPr>
        <w:t>Particular</w:t>
      </w:r>
      <w:r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val="es-ES" w:eastAsia="en-US"/>
        </w:rPr>
        <w:t xml:space="preserve">en contra de la respuesta otorgada por </w:t>
      </w:r>
      <w:r w:rsidR="00F755E1" w:rsidRPr="00054E79">
        <w:rPr>
          <w:rFonts w:ascii="Palatino Linotype" w:eastAsia="Calibri" w:hAnsi="Palatino Linotype" w:cs="Tahoma"/>
          <w:bCs/>
          <w:sz w:val="22"/>
          <w:szCs w:val="22"/>
          <w:lang w:val="es-ES" w:eastAsia="en-US"/>
        </w:rPr>
        <w:t xml:space="preserve">el </w:t>
      </w:r>
      <w:r w:rsidR="00F755E1" w:rsidRPr="00054E79">
        <w:rPr>
          <w:rFonts w:ascii="Palatino Linotype" w:eastAsia="Calibri" w:hAnsi="Palatino Linotype" w:cs="Tahoma"/>
          <w:b/>
          <w:bCs/>
          <w:sz w:val="22"/>
          <w:szCs w:val="22"/>
          <w:lang w:val="es-ES" w:eastAsia="en-US"/>
        </w:rPr>
        <w:t>Sujeto Obligado</w:t>
      </w:r>
      <w:r w:rsidR="008B0418" w:rsidRPr="00054E79">
        <w:rPr>
          <w:rFonts w:ascii="Palatino Linotype" w:eastAsia="Calibri" w:hAnsi="Palatino Linotype" w:cs="Tahoma"/>
          <w:bCs/>
          <w:sz w:val="22"/>
          <w:szCs w:val="22"/>
          <w:lang w:val="es-ES" w:eastAsia="en-US"/>
        </w:rPr>
        <w:t xml:space="preserve"> </w:t>
      </w:r>
      <w:r w:rsidR="009D1E41" w:rsidRPr="009D1E41">
        <w:rPr>
          <w:rFonts w:ascii="Palatino Linotype" w:eastAsia="Calibri" w:hAnsi="Palatino Linotype" w:cs="Tahoma"/>
          <w:b/>
          <w:bCs/>
          <w:sz w:val="22"/>
          <w:szCs w:val="22"/>
          <w:lang w:val="es-ES" w:eastAsia="en-US"/>
        </w:rPr>
        <w:t>Instituto de Seguridad Social del Estado de México y Municipios</w:t>
      </w:r>
      <w:r w:rsidR="00806E45" w:rsidRPr="00054E79">
        <w:rPr>
          <w:rFonts w:ascii="Palatino Linotype" w:eastAsia="Calibri" w:hAnsi="Palatino Linotype" w:cs="Tahoma"/>
          <w:bCs/>
          <w:sz w:val="22"/>
          <w:szCs w:val="22"/>
          <w:lang w:val="es-ES" w:eastAsia="en-US"/>
        </w:rPr>
        <w:t>, se emi</w:t>
      </w:r>
      <w:bookmarkStart w:id="0" w:name="_GoBack"/>
      <w:bookmarkEnd w:id="0"/>
      <w:r w:rsidR="00806E45" w:rsidRPr="00054E79">
        <w:rPr>
          <w:rFonts w:ascii="Palatino Linotype" w:eastAsia="Calibri" w:hAnsi="Palatino Linotype" w:cs="Tahoma"/>
          <w:bCs/>
          <w:sz w:val="22"/>
          <w:szCs w:val="22"/>
          <w:lang w:val="es-ES" w:eastAsia="en-US"/>
        </w:rPr>
        <w:t>te la presente Resolución, con base en lo</w:t>
      </w:r>
      <w:r w:rsidR="008B0418" w:rsidRPr="00054E79">
        <w:rPr>
          <w:rFonts w:ascii="Palatino Linotype" w:eastAsia="Calibri" w:hAnsi="Palatino Linotype" w:cs="Tahoma"/>
          <w:bCs/>
          <w:sz w:val="22"/>
          <w:szCs w:val="22"/>
          <w:lang w:val="es-ES" w:eastAsia="en-US"/>
        </w:rPr>
        <w:t xml:space="preserve">s </w:t>
      </w:r>
      <w:r w:rsidR="00F70349">
        <w:rPr>
          <w:rFonts w:ascii="Palatino Linotype" w:eastAsia="Calibri" w:hAnsi="Palatino Linotype" w:cs="Tahoma"/>
          <w:bCs/>
          <w:sz w:val="22"/>
          <w:szCs w:val="22"/>
          <w:lang w:val="es-ES" w:eastAsia="en-US"/>
        </w:rPr>
        <w:t>siguientes</w:t>
      </w:r>
      <w:r w:rsidR="00806E45" w:rsidRPr="00054E79">
        <w:rPr>
          <w:rFonts w:ascii="Palatino Linotype" w:eastAsia="Calibri" w:hAnsi="Palatino Linotype" w:cs="Tahoma"/>
          <w:bCs/>
          <w:sz w:val="22"/>
          <w:szCs w:val="22"/>
          <w:lang w:val="es-ES" w:eastAsia="en-US"/>
        </w:rPr>
        <w:t>:</w:t>
      </w:r>
    </w:p>
    <w:p w:rsidR="00806E45" w:rsidRPr="00054E79"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054E79" w:rsidRDefault="00C614A6" w:rsidP="00806E4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ANTECEDENTES</w: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D9652C">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 Presentación de la solicitud de información. </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C9316C" w:rsidRPr="00C9316C" w:rsidRDefault="00806E45" w:rsidP="00C9316C">
      <w:pPr>
        <w:pStyle w:val="Prrafodelista"/>
        <w:tabs>
          <w:tab w:val="left" w:pos="567"/>
        </w:tabs>
        <w:spacing w:line="360" w:lineRule="auto"/>
        <w:ind w:left="0"/>
        <w:contextualSpacing w:val="0"/>
        <w:jc w:val="both"/>
        <w:rPr>
          <w:rFonts w:ascii="Palatino Linotype" w:hAnsi="Palatino Linotype" w:cs="Tahoma"/>
          <w:szCs w:val="22"/>
        </w:rPr>
      </w:pPr>
      <w:r w:rsidRPr="00054E79">
        <w:rPr>
          <w:rFonts w:ascii="Palatino Linotype" w:eastAsia="Calibri" w:hAnsi="Palatino Linotype" w:cs="Tahoma"/>
          <w:bCs/>
          <w:szCs w:val="22"/>
          <w:lang w:eastAsia="en-US"/>
        </w:rPr>
        <w:t xml:space="preserve">Con fecha </w:t>
      </w:r>
      <w:r w:rsidR="003743C4">
        <w:rPr>
          <w:rFonts w:ascii="Palatino Linotype" w:eastAsia="Calibri" w:hAnsi="Palatino Linotype" w:cs="Tahoma"/>
          <w:bCs/>
          <w:szCs w:val="22"/>
          <w:lang w:eastAsia="en-US"/>
        </w:rPr>
        <w:t xml:space="preserve">doce de noviembre </w:t>
      </w:r>
      <w:r w:rsidRPr="00054E79">
        <w:rPr>
          <w:rFonts w:ascii="Palatino Linotype" w:eastAsia="Calibri" w:hAnsi="Palatino Linotype" w:cs="Tahoma"/>
          <w:bCs/>
          <w:szCs w:val="22"/>
          <w:lang w:eastAsia="en-US"/>
        </w:rPr>
        <w:t xml:space="preserve">de dos mil dieciocho, </w:t>
      </w:r>
      <w:r w:rsidR="003743C4">
        <w:rPr>
          <w:rFonts w:ascii="Palatino Linotype" w:eastAsia="Calibri" w:hAnsi="Palatino Linotype" w:cs="Tahoma"/>
          <w:bCs/>
          <w:szCs w:val="22"/>
          <w:lang w:eastAsia="en-US"/>
        </w:rPr>
        <w:t>a través</w:t>
      </w:r>
      <w:r w:rsidRPr="00054E79">
        <w:rPr>
          <w:rFonts w:ascii="Palatino Linotype" w:eastAsia="Calibri" w:hAnsi="Palatino Linotype" w:cs="Tahoma"/>
          <w:bCs/>
          <w:szCs w:val="22"/>
          <w:lang w:eastAsia="en-US"/>
        </w:rPr>
        <w:t xml:space="preserve"> </w:t>
      </w:r>
      <w:r w:rsidR="003743C4">
        <w:rPr>
          <w:rFonts w:ascii="Palatino Linotype" w:eastAsia="Calibri" w:hAnsi="Palatino Linotype" w:cs="Tahoma"/>
          <w:bCs/>
          <w:szCs w:val="22"/>
          <w:lang w:eastAsia="en-US"/>
        </w:rPr>
        <w:t>d</w:t>
      </w:r>
      <w:r w:rsidRPr="00054E79">
        <w:rPr>
          <w:rFonts w:ascii="Palatino Linotype" w:eastAsia="Calibri" w:hAnsi="Palatino Linotype" w:cs="Tahoma"/>
          <w:bCs/>
          <w:szCs w:val="22"/>
          <w:lang w:eastAsia="en-US"/>
        </w:rPr>
        <w:t>el</w:t>
      </w:r>
      <w:r w:rsidRPr="00054E79">
        <w:rPr>
          <w:rFonts w:ascii="Palatino Linotype" w:eastAsia="Calibri" w:hAnsi="Palatino Linotype" w:cs="Tahoma"/>
          <w:bCs/>
          <w:szCs w:val="22"/>
          <w:lang w:val="es-ES" w:eastAsia="en-US"/>
        </w:rPr>
        <w:t xml:space="preserve"> Sistema de Acceso a la Información Mexiquense (SAIMEX), </w:t>
      </w:r>
      <w:r w:rsidR="00C614A6">
        <w:rPr>
          <w:rFonts w:ascii="Palatino Linotype" w:eastAsia="Calibri" w:hAnsi="Palatino Linotype" w:cs="Tahoma"/>
          <w:bCs/>
          <w:szCs w:val="22"/>
          <w:lang w:eastAsia="en-US"/>
        </w:rPr>
        <w:t>el</w:t>
      </w:r>
      <w:r w:rsidRPr="00054E79">
        <w:rPr>
          <w:rFonts w:ascii="Palatino Linotype" w:eastAsia="Calibri" w:hAnsi="Palatino Linotype" w:cs="Tahoma"/>
          <w:bCs/>
          <w:szCs w:val="22"/>
          <w:lang w:eastAsia="en-US"/>
        </w:rPr>
        <w:t xml:space="preserve"> </w:t>
      </w:r>
      <w:r w:rsidR="001A1AAB" w:rsidRPr="00054E79">
        <w:rPr>
          <w:rFonts w:ascii="Palatino Linotype" w:eastAsia="Calibri" w:hAnsi="Palatino Linotype" w:cs="Tahoma"/>
          <w:bCs/>
          <w:szCs w:val="22"/>
          <w:lang w:eastAsia="en-US"/>
        </w:rPr>
        <w:t>Particular</w:t>
      </w:r>
      <w:r w:rsidRPr="00054E79">
        <w:rPr>
          <w:rFonts w:ascii="Palatino Linotype" w:eastAsia="Calibri" w:hAnsi="Palatino Linotype" w:cs="Tahoma"/>
          <w:bCs/>
          <w:szCs w:val="22"/>
          <w:lang w:eastAsia="en-US"/>
        </w:rPr>
        <w:t xml:space="preserve"> presentó solicitud de </w:t>
      </w:r>
      <w:r w:rsidR="00F82119" w:rsidRPr="00054E79">
        <w:rPr>
          <w:rFonts w:ascii="Palatino Linotype" w:eastAsia="Calibri" w:hAnsi="Palatino Linotype" w:cs="Tahoma"/>
          <w:bCs/>
          <w:szCs w:val="22"/>
          <w:lang w:eastAsia="en-US"/>
        </w:rPr>
        <w:t xml:space="preserve">acceso a la </w:t>
      </w:r>
      <w:r w:rsidR="008B0418" w:rsidRPr="00054E79">
        <w:rPr>
          <w:rFonts w:ascii="Palatino Linotype" w:eastAsia="Calibri" w:hAnsi="Palatino Linotype" w:cs="Tahoma"/>
          <w:bCs/>
          <w:szCs w:val="22"/>
          <w:lang w:eastAsia="en-US"/>
        </w:rPr>
        <w:t>información pública</w:t>
      </w:r>
      <w:r w:rsidRPr="00054E79">
        <w:rPr>
          <w:rFonts w:ascii="Palatino Linotype" w:eastAsia="Calibri" w:hAnsi="Palatino Linotype" w:cs="Tahoma"/>
          <w:bCs/>
          <w:szCs w:val="22"/>
          <w:lang w:eastAsia="en-US"/>
        </w:rPr>
        <w:t xml:space="preserve"> ante </w:t>
      </w:r>
      <w:r w:rsidR="00C9316C">
        <w:rPr>
          <w:rFonts w:ascii="Palatino Linotype" w:eastAsia="Calibri" w:hAnsi="Palatino Linotype" w:cs="Tahoma"/>
          <w:bCs/>
          <w:szCs w:val="22"/>
          <w:lang w:eastAsia="en-US"/>
        </w:rPr>
        <w:t>el Sujeto Obligado</w:t>
      </w:r>
      <w:r w:rsidR="005726B1" w:rsidRPr="00054E79">
        <w:rPr>
          <w:rFonts w:ascii="Palatino Linotype" w:eastAsia="Calibri" w:hAnsi="Palatino Linotype" w:cs="Tahoma"/>
          <w:bCs/>
          <w:szCs w:val="22"/>
          <w:lang w:eastAsia="en-US"/>
        </w:rPr>
        <w:t xml:space="preserve"> </w:t>
      </w:r>
      <w:r w:rsidR="00366810" w:rsidRPr="00366810">
        <w:rPr>
          <w:rFonts w:ascii="Palatino Linotype" w:eastAsia="Calibri" w:hAnsi="Palatino Linotype" w:cs="Tahoma"/>
          <w:bCs/>
          <w:szCs w:val="22"/>
          <w:lang w:eastAsia="en-US"/>
        </w:rPr>
        <w:t>Instituto de Seguridad Social del Estado de México y Municipios</w:t>
      </w:r>
      <w:r w:rsidRPr="00054E79">
        <w:rPr>
          <w:rFonts w:ascii="Palatino Linotype" w:eastAsia="Calibri" w:hAnsi="Palatino Linotype" w:cs="Tahoma"/>
          <w:bCs/>
          <w:szCs w:val="22"/>
          <w:lang w:eastAsia="en-US"/>
        </w:rPr>
        <w:t xml:space="preserve">, </w:t>
      </w:r>
      <w:r w:rsidR="00C9316C" w:rsidRPr="00C9316C">
        <w:rPr>
          <w:rFonts w:ascii="Palatino Linotype" w:hAnsi="Palatino Linotype" w:cs="Tahoma"/>
          <w:szCs w:val="22"/>
        </w:rPr>
        <w:t>misma que fue registrada con número de folio</w:t>
      </w:r>
      <w:r w:rsidR="00C9316C" w:rsidRPr="00C9316C">
        <w:rPr>
          <w:rFonts w:ascii="Palatino Linotype" w:hAnsi="Palatino Linotype"/>
          <w:b/>
          <w:bCs/>
          <w:color w:val="FF0000"/>
          <w:sz w:val="20"/>
          <w:szCs w:val="20"/>
          <w:lang w:val="es-ES"/>
        </w:rPr>
        <w:t xml:space="preserve"> </w:t>
      </w:r>
      <w:r w:rsidR="00C9316C" w:rsidRPr="00C9316C">
        <w:rPr>
          <w:rFonts w:ascii="Palatino Linotype" w:hAnsi="Palatino Linotype" w:cs="Tahoma"/>
          <w:b/>
          <w:bCs/>
          <w:szCs w:val="22"/>
        </w:rPr>
        <w:t>00719/ISSEMYM/IP/2018</w:t>
      </w:r>
      <w:r w:rsidR="00C9316C" w:rsidRPr="00C9316C">
        <w:rPr>
          <w:rFonts w:ascii="Palatino Linotype" w:hAnsi="Palatino Linotype" w:cs="Tahoma"/>
          <w:b/>
          <w:bCs/>
          <w:szCs w:val="22"/>
          <w:lang w:val="es-ES"/>
        </w:rPr>
        <w:t xml:space="preserve">, </w:t>
      </w:r>
      <w:r w:rsidR="00C9316C" w:rsidRPr="00C9316C">
        <w:rPr>
          <w:rFonts w:ascii="Palatino Linotype" w:hAnsi="Palatino Linotype" w:cs="Tahoma"/>
          <w:szCs w:val="22"/>
        </w:rPr>
        <w:t>mediante la cual requirió:</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806E45" w:rsidRDefault="00806E45" w:rsidP="00806E45">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DESCRIPCIÓN CLARA Y PRECISA DE LA INFORMACIÓN SOLICITADA</w:t>
      </w:r>
    </w:p>
    <w:p w:rsidR="00823BBC" w:rsidRPr="00054E79" w:rsidRDefault="00823BBC" w:rsidP="00806E45">
      <w:pPr>
        <w:spacing w:line="360" w:lineRule="auto"/>
        <w:ind w:left="567" w:right="567"/>
        <w:jc w:val="both"/>
        <w:rPr>
          <w:rFonts w:ascii="Palatino Linotype" w:eastAsia="Calibri" w:hAnsi="Palatino Linotype" w:cs="Tahoma"/>
          <w:b/>
          <w:bCs/>
          <w:lang w:val="es-ES" w:eastAsia="en-US"/>
        </w:rPr>
      </w:pPr>
    </w:p>
    <w:p w:rsidR="00F82119" w:rsidRDefault="00C9316C" w:rsidP="00806E45">
      <w:pPr>
        <w:spacing w:line="360" w:lineRule="auto"/>
        <w:ind w:left="567" w:right="567"/>
        <w:jc w:val="both"/>
        <w:rPr>
          <w:rFonts w:ascii="Palatino Linotype" w:eastAsia="Calibri" w:hAnsi="Palatino Linotype" w:cs="Tahoma"/>
          <w:bCs/>
          <w:lang w:val="es-ES" w:eastAsia="en-US"/>
        </w:rPr>
      </w:pPr>
      <w:r w:rsidRPr="00C9316C">
        <w:rPr>
          <w:rFonts w:ascii="Palatino Linotype" w:eastAsia="Calibri" w:hAnsi="Palatino Linotype" w:cs="Tahoma"/>
          <w:bCs/>
          <w:lang w:eastAsia="en-US"/>
        </w:rPr>
        <w:t xml:space="preserve">Debido a la entrada en vigor que de la Ley de Seguridad Social para los Servidores Públicos del Estado de México y Municipios que regirá al ISSEMYM a partir del 1o de enero de 2019, deseo conocer los siguientes: -Actividades realizadas por la Coordinación de </w:t>
      </w:r>
      <w:r w:rsidRPr="00C9316C">
        <w:rPr>
          <w:rFonts w:ascii="Palatino Linotype" w:eastAsia="Calibri" w:hAnsi="Palatino Linotype" w:cs="Tahoma"/>
          <w:bCs/>
          <w:lang w:eastAsia="en-US"/>
        </w:rPr>
        <w:lastRenderedPageBreak/>
        <w:t>Prestaciones y Seguridad Social para orientar a las Unidades, Coordinaciones o Delegaciones Administrativas de las dependencias, municipios, organismos del Estado de México, con la finalidad de incorporar a los servidores públicos que opten de manera voluntaria emigrar a una cuenta individual bajo el esquema denominado “Monto de la Acreditación". -Actividades realizadas para orientar a los Servidores Públicos de las dependencias y organismos del Estado, que opten de manera voluntaria emigrar a una cuenta individual, bajo el esquema denominado “Monto de la Acreditación". -Se indiquen las previsiones tomadas para incorporar a todos los servidores públicos que opten de manera voluntaria emigrar a una cuenta individual bajo el esquema denominado “Monto de la Acreditación". -Si se cuenta con las previsiones presupuestales liquidas para realizar las transferencias, depósitos, o movimientos bancarios a las cuentas individuales que señala la nueva Ley de Seguridad Social para los Servidores Públicos del Estado de México y Municipios, considerada como "Monto de la Acreditación" establecido en el Considerando NOVENO y DÉCIMO de dicho ordenamiento. -Se indique la fecha o momentos establecidos para que los servidores públicos que cotizan actualmente en el Fondo Solidario y que opten de manera voluntaria emigrar a una cuenta individual bajo el esquema denominado “Monto de la Acreditación"; puedan realizarlo. -Se indique si a la fecha existe ya un procedimiento para llevarse a cabo por parte los servidores públicos que cotizan actualmente en el Fondo Solidario y que opten de manera voluntaria emigrar a una cuenta individual bajo el esquema denominado “Monto de la Acreditación", en su caso proporcionarlo. -Se indiquen en cuanto tiempo deberán acreditarse los recursos financieros EN LA CUENTA INDIVIDUAL elegida por el Servidor Público del denominado "Monto de la Acreditación" en el supuesto que el servidor público acepte esta opción. POR SU ATENCIÓN GRACIAS</w:t>
      </w:r>
      <w:r>
        <w:rPr>
          <w:rFonts w:ascii="Palatino Linotype" w:eastAsia="Calibri" w:hAnsi="Palatino Linotype" w:cs="Tahoma"/>
          <w:bCs/>
          <w:lang w:val="es-ES" w:eastAsia="en-US"/>
        </w:rPr>
        <w:t>.</w:t>
      </w:r>
    </w:p>
    <w:p w:rsidR="00D315F9" w:rsidRPr="00054E79" w:rsidRDefault="00D315F9" w:rsidP="00806E45">
      <w:pPr>
        <w:spacing w:line="360" w:lineRule="auto"/>
        <w:ind w:left="567" w:right="567"/>
        <w:jc w:val="both"/>
        <w:rPr>
          <w:rFonts w:ascii="Palatino Linotype" w:eastAsia="Calibri" w:hAnsi="Palatino Linotype" w:cs="Tahoma"/>
          <w:bCs/>
          <w:lang w:val="es-ES" w:eastAsia="en-US"/>
        </w:rPr>
      </w:pPr>
    </w:p>
    <w:p w:rsidR="00806E45" w:rsidRDefault="00806E45" w:rsidP="00806E45">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MODALIDAD DE ENTREGA</w:t>
      </w:r>
    </w:p>
    <w:p w:rsidR="00806E45" w:rsidRDefault="00C614A6"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A través del SAIMEX</w:t>
      </w:r>
      <w:r w:rsidR="005726B1" w:rsidRPr="00054E79">
        <w:rPr>
          <w:rFonts w:ascii="Palatino Linotype" w:eastAsia="Calibri" w:hAnsi="Palatino Linotype" w:cs="Tahoma"/>
          <w:bCs/>
          <w:lang w:val="es-ES" w:eastAsia="en-US"/>
        </w:rPr>
        <w:t>.</w:t>
      </w:r>
    </w:p>
    <w:p w:rsidR="00EF6E2E" w:rsidRDefault="00EF6E2E" w:rsidP="00806E45">
      <w:pPr>
        <w:spacing w:line="360" w:lineRule="auto"/>
        <w:ind w:left="567" w:right="567"/>
        <w:jc w:val="both"/>
        <w:rPr>
          <w:rFonts w:ascii="Palatino Linotype" w:eastAsia="Calibri" w:hAnsi="Palatino Linotype" w:cs="Tahoma"/>
          <w:bCs/>
          <w:lang w:val="es-ES" w:eastAsia="en-US"/>
        </w:rPr>
      </w:pPr>
    </w:p>
    <w:p w:rsidR="00806E45" w:rsidRDefault="00DC1BA4">
      <w:pPr>
        <w:spacing w:line="360" w:lineRule="auto"/>
        <w:jc w:val="both"/>
        <w:rPr>
          <w:rFonts w:ascii="Palatino Linotype" w:eastAsia="Calibri" w:hAnsi="Palatino Linotype" w:cs="Tahoma"/>
          <w:b/>
          <w:bCs/>
          <w:sz w:val="22"/>
          <w:szCs w:val="22"/>
          <w:lang w:val="es-ES" w:eastAsia="en-US"/>
        </w:rPr>
      </w:pPr>
      <w:r w:rsidRPr="00DC1BA4">
        <w:rPr>
          <w:rFonts w:ascii="Palatino Linotype" w:eastAsia="Calibri" w:hAnsi="Palatino Linotype" w:cs="Tahoma"/>
          <w:b/>
          <w:bCs/>
          <w:sz w:val="22"/>
          <w:szCs w:val="22"/>
          <w:lang w:val="es-ES" w:eastAsia="en-US"/>
        </w:rPr>
        <w:lastRenderedPageBreak/>
        <w:t xml:space="preserve">II. </w:t>
      </w:r>
      <w:r w:rsidR="00806E45" w:rsidRPr="00054E79">
        <w:rPr>
          <w:rFonts w:ascii="Palatino Linotype" w:eastAsia="Calibri" w:hAnsi="Palatino Linotype" w:cs="Tahoma"/>
          <w:b/>
          <w:bCs/>
          <w:sz w:val="22"/>
          <w:szCs w:val="22"/>
          <w:lang w:val="es-ES" w:eastAsia="en-US"/>
        </w:rPr>
        <w:t xml:space="preserve">Respuesta del </w:t>
      </w:r>
      <w:r w:rsidR="001A1AAB" w:rsidRPr="00054E79">
        <w:rPr>
          <w:rFonts w:ascii="Palatino Linotype" w:eastAsia="Calibri" w:hAnsi="Palatino Linotype" w:cs="Tahoma"/>
          <w:b/>
          <w:bCs/>
          <w:sz w:val="22"/>
          <w:szCs w:val="22"/>
          <w:lang w:val="es-ES" w:eastAsia="en-US"/>
        </w:rPr>
        <w:t>Sujeto Obligado</w:t>
      </w:r>
      <w:r w:rsidR="00806E45" w:rsidRPr="00054E79">
        <w:rPr>
          <w:rFonts w:ascii="Palatino Linotype" w:eastAsia="Calibri" w:hAnsi="Palatino Linotype" w:cs="Tahoma"/>
          <w:b/>
          <w:bCs/>
          <w:sz w:val="22"/>
          <w:szCs w:val="22"/>
          <w:lang w:val="es-ES" w:eastAsia="en-US"/>
        </w:rPr>
        <w:t>.</w:t>
      </w:r>
    </w:p>
    <w:p w:rsidR="00823BBC" w:rsidRPr="00054E79" w:rsidRDefault="00823BBC">
      <w:pPr>
        <w:spacing w:line="360" w:lineRule="auto"/>
        <w:jc w:val="both"/>
        <w:rPr>
          <w:rFonts w:ascii="Palatino Linotype" w:eastAsia="Calibri" w:hAnsi="Palatino Linotype" w:cs="Tahoma"/>
          <w:b/>
          <w:bCs/>
          <w:sz w:val="22"/>
          <w:szCs w:val="22"/>
          <w:lang w:val="es-ES" w:eastAsia="en-US"/>
        </w:rPr>
      </w:pPr>
    </w:p>
    <w:p w:rsidR="00B514EC" w:rsidRPr="00B514EC" w:rsidRDefault="00806E45" w:rsidP="00B514E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C9316C">
        <w:rPr>
          <w:rFonts w:ascii="Palatino Linotype" w:eastAsia="Calibri" w:hAnsi="Palatino Linotype" w:cs="Tahoma"/>
          <w:bCs/>
          <w:sz w:val="22"/>
          <w:szCs w:val="22"/>
          <w:lang w:val="es-ES" w:eastAsia="en-US"/>
        </w:rPr>
        <w:t xml:space="preserve">tres de diciembre </w:t>
      </w:r>
      <w:r w:rsidRPr="00054E79">
        <w:rPr>
          <w:rFonts w:ascii="Palatino Linotype" w:eastAsia="Calibri" w:hAnsi="Palatino Linotype" w:cs="Tahoma"/>
          <w:bCs/>
          <w:sz w:val="22"/>
          <w:szCs w:val="22"/>
          <w:lang w:val="es-ES" w:eastAsia="en-US"/>
        </w:rPr>
        <w:t xml:space="preserve">de dos mil dieciocho, mediante el Sistema de Acceso a la Información Mexiquense (SAIMEX), </w:t>
      </w:r>
      <w:r w:rsidR="00C9316C">
        <w:rPr>
          <w:rFonts w:ascii="Palatino Linotype" w:eastAsia="Calibri" w:hAnsi="Palatino Linotype" w:cs="Tahoma"/>
          <w:bCs/>
          <w:sz w:val="22"/>
          <w:szCs w:val="22"/>
          <w:lang w:val="es-ES" w:eastAsia="en-US"/>
        </w:rPr>
        <w:t>el Sujeto Obligado</w:t>
      </w:r>
      <w:r w:rsidR="008F7620">
        <w:rPr>
          <w:rFonts w:ascii="Palatino Linotype" w:eastAsia="Calibri" w:hAnsi="Palatino Linotype" w:cs="Tahoma"/>
          <w:bCs/>
          <w:sz w:val="22"/>
          <w:szCs w:val="22"/>
          <w:lang w:val="es-ES" w:eastAsia="en-US"/>
        </w:rPr>
        <w:t xml:space="preserve"> </w:t>
      </w:r>
      <w:r w:rsidR="00C614A6">
        <w:rPr>
          <w:rFonts w:ascii="Palatino Linotype" w:eastAsia="Calibri" w:hAnsi="Palatino Linotype" w:cs="Tahoma"/>
          <w:bCs/>
          <w:sz w:val="22"/>
          <w:szCs w:val="22"/>
          <w:lang w:val="es-ES" w:eastAsia="en-US"/>
        </w:rPr>
        <w:t xml:space="preserve">notificó al </w:t>
      </w:r>
      <w:r w:rsidR="001A1AAB" w:rsidRPr="00054E79">
        <w:rPr>
          <w:rFonts w:ascii="Palatino Linotype" w:eastAsia="Calibri" w:hAnsi="Palatino Linotype" w:cs="Tahoma"/>
          <w:bCs/>
          <w:sz w:val="22"/>
          <w:szCs w:val="22"/>
          <w:lang w:val="es-ES" w:eastAsia="en-US"/>
        </w:rPr>
        <w:t>Particular</w:t>
      </w:r>
      <w:r w:rsidRPr="00054E79">
        <w:rPr>
          <w:rFonts w:ascii="Palatino Linotype" w:eastAsia="Calibri" w:hAnsi="Palatino Linotype" w:cs="Tahoma"/>
          <w:bCs/>
          <w:sz w:val="22"/>
          <w:szCs w:val="22"/>
          <w:lang w:val="es-ES" w:eastAsia="en-US"/>
        </w:rPr>
        <w:t xml:space="preserve"> la respuesta a su solicitud de acceso a la información</w:t>
      </w:r>
      <w:r w:rsidR="00B514EC" w:rsidRPr="00B514EC">
        <w:rPr>
          <w:rFonts w:ascii="Palatino Linotype" w:hAnsi="Palatino Linotype" w:cs="Tahoma"/>
          <w:sz w:val="22"/>
          <w:szCs w:val="22"/>
          <w:lang w:val="es-ES"/>
        </w:rPr>
        <w:t xml:space="preserve"> </w:t>
      </w:r>
      <w:r w:rsidR="00B514EC" w:rsidRPr="00B514EC">
        <w:rPr>
          <w:rFonts w:ascii="Palatino Linotype" w:eastAsia="Calibri" w:hAnsi="Palatino Linotype" w:cs="Tahoma"/>
          <w:bCs/>
          <w:sz w:val="22"/>
          <w:szCs w:val="22"/>
          <w:lang w:val="es-ES" w:eastAsia="en-US"/>
        </w:rPr>
        <w:t xml:space="preserve">con número de folio </w:t>
      </w:r>
      <w:r w:rsidR="00B514EC" w:rsidRPr="00B514EC">
        <w:rPr>
          <w:rFonts w:ascii="Palatino Linotype" w:eastAsia="Calibri" w:hAnsi="Palatino Linotype" w:cs="Tahoma"/>
          <w:b/>
          <w:bCs/>
          <w:sz w:val="22"/>
          <w:szCs w:val="22"/>
          <w:lang w:eastAsia="en-US"/>
        </w:rPr>
        <w:t>00719/ISSEMYM/IP/2018</w:t>
      </w:r>
      <w:r w:rsidR="00B514EC" w:rsidRPr="00B514EC">
        <w:rPr>
          <w:rFonts w:ascii="Palatino Linotype" w:eastAsia="Calibri" w:hAnsi="Palatino Linotype" w:cs="Tahoma"/>
          <w:b/>
          <w:bCs/>
          <w:sz w:val="22"/>
          <w:szCs w:val="22"/>
          <w:lang w:val="es-ES" w:eastAsia="en-US"/>
        </w:rPr>
        <w:t>,</w:t>
      </w:r>
      <w:r w:rsidR="00B514EC" w:rsidRPr="00B514EC">
        <w:rPr>
          <w:rFonts w:ascii="Palatino Linotype" w:eastAsia="Calibri" w:hAnsi="Palatino Linotype" w:cs="Tahoma"/>
          <w:bCs/>
          <w:sz w:val="22"/>
          <w:szCs w:val="22"/>
          <w:lang w:val="es-ES" w:eastAsia="en-US"/>
        </w:rPr>
        <w:t xml:space="preserve"> en los términos siguientes:</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Default="00B514EC" w:rsidP="00B514EC">
      <w:pPr>
        <w:spacing w:line="360" w:lineRule="auto"/>
        <w:ind w:left="567" w:right="567"/>
        <w:jc w:val="both"/>
        <w:rPr>
          <w:rFonts w:ascii="Palatino Linotype" w:eastAsia="Calibri" w:hAnsi="Palatino Linotype" w:cs="Tahoma"/>
          <w:bCs/>
          <w:lang w:eastAsia="en-US"/>
        </w:rPr>
      </w:pPr>
      <w:r w:rsidRPr="00B514EC">
        <w:rPr>
          <w:rFonts w:ascii="Palatino Linotype" w:eastAsia="Calibri" w:hAnsi="Palatino Linotype" w:cs="Tahoma"/>
          <w:bCs/>
          <w:lang w:eastAsia="en-US"/>
        </w:rPr>
        <w:t>Como archivo adjunto, encontrará el oficio que dará respuesta a su solicitud de información. Para cualquier duda o aclaración respecto a la presente respuesta, nos ponemos a sus órdenes en el teléfono (01722) 2261900 extensiones 1151 y 1177.</w:t>
      </w:r>
    </w:p>
    <w:p w:rsidR="00B514EC" w:rsidRDefault="00B514EC" w:rsidP="00D9652C">
      <w:pPr>
        <w:spacing w:line="360" w:lineRule="auto"/>
        <w:jc w:val="both"/>
        <w:rPr>
          <w:rFonts w:ascii="Palatino Linotype" w:eastAsia="Calibri" w:hAnsi="Palatino Linotype" w:cs="Tahoma"/>
          <w:bCs/>
          <w:sz w:val="22"/>
          <w:szCs w:val="22"/>
          <w:lang w:val="es-ES" w:eastAsia="en-US"/>
        </w:rPr>
      </w:pPr>
    </w:p>
    <w:p w:rsidR="00B514EC" w:rsidRDefault="00B514EC" w:rsidP="00B514EC">
      <w:pPr>
        <w:spacing w:line="360" w:lineRule="auto"/>
        <w:jc w:val="both"/>
        <w:rPr>
          <w:rFonts w:ascii="Palatino Linotype" w:hAnsi="Palatino Linotype" w:cs="Tahoma"/>
          <w:bCs/>
          <w:sz w:val="22"/>
        </w:rPr>
      </w:pPr>
      <w:r w:rsidRPr="00B45672">
        <w:rPr>
          <w:rFonts w:ascii="Palatino Linotype" w:hAnsi="Palatino Linotype" w:cs="Tahoma"/>
          <w:bCs/>
          <w:sz w:val="22"/>
        </w:rPr>
        <w:t>Adjunt</w:t>
      </w:r>
      <w:r>
        <w:rPr>
          <w:rFonts w:ascii="Palatino Linotype" w:hAnsi="Palatino Linotype" w:cs="Tahoma"/>
          <w:bCs/>
          <w:sz w:val="22"/>
        </w:rPr>
        <w:t>ó</w:t>
      </w:r>
      <w:r w:rsidRPr="00B45672">
        <w:rPr>
          <w:rFonts w:ascii="Palatino Linotype" w:hAnsi="Palatino Linotype" w:cs="Tahoma"/>
          <w:bCs/>
          <w:sz w:val="22"/>
        </w:rPr>
        <w:t xml:space="preserve"> el archivo electrónico denominado </w:t>
      </w:r>
      <w:r>
        <w:rPr>
          <w:rFonts w:ascii="Palatino Linotype" w:hAnsi="Palatino Linotype" w:cs="Tahoma"/>
          <w:b/>
          <w:bCs/>
          <w:i/>
          <w:sz w:val="22"/>
        </w:rPr>
        <w:t>719.IP.pdf</w:t>
      </w:r>
      <w:r w:rsidRPr="00B45672">
        <w:rPr>
          <w:rFonts w:ascii="Palatino Linotype" w:hAnsi="Palatino Linotype" w:cs="Tahoma"/>
          <w:b/>
          <w:bCs/>
          <w:i/>
          <w:sz w:val="22"/>
        </w:rPr>
        <w:t xml:space="preserve">, </w:t>
      </w:r>
      <w:r w:rsidRPr="00B45672">
        <w:rPr>
          <w:rFonts w:ascii="Palatino Linotype" w:hAnsi="Palatino Linotype" w:cs="Tahoma"/>
          <w:bCs/>
          <w:sz w:val="22"/>
        </w:rPr>
        <w:t xml:space="preserve">que contiene el </w:t>
      </w:r>
      <w:r>
        <w:rPr>
          <w:rFonts w:ascii="Palatino Linotype" w:hAnsi="Palatino Linotype" w:cs="Tahoma"/>
          <w:bCs/>
          <w:sz w:val="22"/>
        </w:rPr>
        <w:t xml:space="preserve">documento </w:t>
      </w:r>
      <w:r w:rsidRPr="00B45672">
        <w:rPr>
          <w:rFonts w:ascii="Palatino Linotype" w:hAnsi="Palatino Linotype" w:cs="Tahoma"/>
          <w:bCs/>
          <w:sz w:val="22"/>
        </w:rPr>
        <w:t xml:space="preserve">número </w:t>
      </w:r>
      <w:r>
        <w:rPr>
          <w:rFonts w:ascii="Palatino Linotype" w:hAnsi="Palatino Linotype" w:cs="Tahoma"/>
          <w:bCs/>
          <w:sz w:val="22"/>
        </w:rPr>
        <w:t>203F 80000-UT-1236/</w:t>
      </w:r>
      <w:r w:rsidRPr="00B45672">
        <w:rPr>
          <w:rFonts w:ascii="Palatino Linotype" w:hAnsi="Palatino Linotype" w:cs="Tahoma"/>
          <w:bCs/>
          <w:sz w:val="22"/>
        </w:rPr>
        <w:t xml:space="preserve">2018, </w:t>
      </w:r>
      <w:r>
        <w:rPr>
          <w:rFonts w:ascii="Palatino Linotype" w:hAnsi="Palatino Linotype" w:cs="Tahoma"/>
          <w:bCs/>
          <w:iCs/>
          <w:sz w:val="22"/>
        </w:rPr>
        <w:t>emitido por el</w:t>
      </w:r>
      <w:r w:rsidRPr="00A72586">
        <w:rPr>
          <w:rFonts w:ascii="Palatino Linotype" w:hAnsi="Palatino Linotype" w:cs="Tahoma"/>
          <w:bCs/>
          <w:iCs/>
          <w:sz w:val="22"/>
        </w:rPr>
        <w:t xml:space="preserve"> Titular de la Unidad de Transparencia</w:t>
      </w:r>
      <w:r>
        <w:rPr>
          <w:rFonts w:ascii="Palatino Linotype" w:hAnsi="Palatino Linotype" w:cs="Tahoma"/>
          <w:bCs/>
          <w:iCs/>
          <w:sz w:val="22"/>
        </w:rPr>
        <w:t xml:space="preserve"> </w:t>
      </w:r>
      <w:r w:rsidRPr="00CB04C8">
        <w:rPr>
          <w:rFonts w:ascii="Palatino Linotype" w:hAnsi="Palatino Linotype" w:cs="Tahoma"/>
          <w:bCs/>
          <w:iCs/>
          <w:sz w:val="22"/>
        </w:rPr>
        <w:t>de</w:t>
      </w:r>
      <w:r>
        <w:rPr>
          <w:rFonts w:ascii="Palatino Linotype" w:hAnsi="Palatino Linotype" w:cs="Tahoma"/>
          <w:bCs/>
          <w:iCs/>
          <w:sz w:val="22"/>
        </w:rPr>
        <w:t>l</w:t>
      </w:r>
      <w:r w:rsidRPr="00CB04C8">
        <w:rPr>
          <w:rFonts w:ascii="Palatino Linotype" w:hAnsi="Palatino Linotype" w:cs="Tahoma"/>
          <w:bCs/>
          <w:iCs/>
          <w:sz w:val="22"/>
        </w:rPr>
        <w:t xml:space="preserve"> </w:t>
      </w:r>
      <w:r w:rsidRPr="00B514EC">
        <w:rPr>
          <w:rFonts w:ascii="Palatino Linotype" w:hAnsi="Palatino Linotype" w:cs="Tahoma"/>
          <w:bCs/>
          <w:iCs/>
          <w:sz w:val="22"/>
        </w:rPr>
        <w:t>Instituto de Seguridad Social del Estado de México y Municipios</w:t>
      </w:r>
      <w:r>
        <w:rPr>
          <w:rFonts w:ascii="Palatino Linotype" w:hAnsi="Palatino Linotype" w:cs="Tahoma"/>
          <w:bCs/>
          <w:sz w:val="22"/>
        </w:rPr>
        <w:t xml:space="preserve">, </w:t>
      </w:r>
      <w:r w:rsidRPr="00B45672">
        <w:rPr>
          <w:rFonts w:ascii="Palatino Linotype" w:hAnsi="Palatino Linotype" w:cs="Tahoma"/>
          <w:bCs/>
          <w:sz w:val="22"/>
        </w:rPr>
        <w:t>por medio del cual informa:</w:t>
      </w:r>
    </w:p>
    <w:p w:rsidR="00B514EC" w:rsidRPr="00B45672" w:rsidRDefault="00B514EC" w:rsidP="00B514EC">
      <w:pPr>
        <w:spacing w:line="360" w:lineRule="auto"/>
        <w:jc w:val="both"/>
        <w:rPr>
          <w:rFonts w:ascii="Palatino Linotype" w:hAnsi="Palatino Linotype" w:cs="Tahoma"/>
          <w:bCs/>
          <w:sz w:val="22"/>
        </w:rPr>
      </w:pPr>
    </w:p>
    <w:p w:rsidR="000A45D9" w:rsidRDefault="000A45D9" w:rsidP="000A45D9">
      <w:pPr>
        <w:spacing w:line="360" w:lineRule="auto"/>
        <w:ind w:left="567" w:right="567"/>
        <w:jc w:val="both"/>
        <w:rPr>
          <w:rFonts w:ascii="Palatino Linotype" w:hAnsi="Palatino Linotype" w:cs="Tahoma"/>
          <w:bCs/>
          <w:i/>
        </w:rPr>
      </w:pPr>
      <w:r w:rsidRPr="000A45D9">
        <w:rPr>
          <w:rFonts w:ascii="Palatino Linotype" w:hAnsi="Palatino Linotype" w:cs="Tahoma"/>
          <w:bCs/>
        </w:rPr>
        <w:t>Con fundamento en los ar1ículos 4, 12</w:t>
      </w:r>
      <w:r>
        <w:rPr>
          <w:rFonts w:ascii="Palatino Linotype" w:hAnsi="Palatino Linotype" w:cs="Tahoma"/>
          <w:bCs/>
        </w:rPr>
        <w:t xml:space="preserve"> </w:t>
      </w:r>
      <w:r w:rsidRPr="000A45D9">
        <w:rPr>
          <w:rFonts w:ascii="Palatino Linotype" w:hAnsi="Palatino Linotype" w:cs="Tahoma"/>
          <w:bCs/>
        </w:rPr>
        <w:t xml:space="preserve">y 16 de </w:t>
      </w:r>
      <w:r>
        <w:rPr>
          <w:rFonts w:ascii="Palatino Linotype" w:hAnsi="Palatino Linotype" w:cs="Tahoma"/>
          <w:bCs/>
        </w:rPr>
        <w:t>la Ley de Transpar</w:t>
      </w:r>
      <w:r w:rsidRPr="000A45D9">
        <w:rPr>
          <w:rFonts w:ascii="Palatino Linotype" w:hAnsi="Palatino Linotype" w:cs="Tahoma"/>
          <w:bCs/>
        </w:rPr>
        <w:t xml:space="preserve">encia y Acceso a la </w:t>
      </w:r>
      <w:r>
        <w:rPr>
          <w:rFonts w:ascii="Palatino Linotype" w:hAnsi="Palatino Linotype" w:cs="Tahoma"/>
          <w:bCs/>
        </w:rPr>
        <w:t>Informació</w:t>
      </w:r>
      <w:r w:rsidRPr="000A45D9">
        <w:rPr>
          <w:rFonts w:ascii="Palatino Linotype" w:hAnsi="Palatino Linotype" w:cs="Tahoma"/>
          <w:bCs/>
        </w:rPr>
        <w:t>n</w:t>
      </w:r>
      <w:r>
        <w:rPr>
          <w:rFonts w:ascii="Palatino Linotype" w:hAnsi="Palatino Linotype" w:cs="Tahoma"/>
          <w:bCs/>
        </w:rPr>
        <w:t xml:space="preserve"> </w:t>
      </w:r>
      <w:r w:rsidRPr="000A45D9">
        <w:rPr>
          <w:rFonts w:ascii="Palatino Linotype" w:hAnsi="Palatino Linotype" w:cs="Tahoma"/>
          <w:bCs/>
        </w:rPr>
        <w:t>Pública del Estado de México y Municipios, de acuerdo a lo comunicado por el Servidor Público</w:t>
      </w:r>
      <w:r>
        <w:rPr>
          <w:rFonts w:ascii="Palatino Linotype" w:hAnsi="Palatino Linotype" w:cs="Tahoma"/>
          <w:bCs/>
        </w:rPr>
        <w:t xml:space="preserve"> </w:t>
      </w:r>
      <w:r w:rsidRPr="000A45D9">
        <w:rPr>
          <w:rFonts w:ascii="Palatino Linotype" w:hAnsi="Palatino Linotype" w:cs="Tahoma"/>
          <w:bCs/>
        </w:rPr>
        <w:t xml:space="preserve">Habilitado de la Coordinación de Prestaciones y Seguridad Social con relación a: </w:t>
      </w:r>
      <w:r w:rsidRPr="000A45D9">
        <w:rPr>
          <w:rFonts w:ascii="Palatino Linotype" w:hAnsi="Palatino Linotype" w:cs="Tahoma"/>
          <w:bCs/>
          <w:i/>
        </w:rPr>
        <w:t>"...Actividades realizadas por la Coordinación de Prestaciones y Seguridad Social para orientar a las Unidades, Coordinaciones o Delegaciones Administrativas de las dependencias, municipios, organismos del Estado de México, con la finalidad de incorporar a los servidores públicos que opten de manera voluntaria emigrar a una cuenta individual bajo el esquema denominado "Monto de la Acreditación... " (SIC).</w:t>
      </w:r>
    </w:p>
    <w:p w:rsidR="00F355EE" w:rsidRPr="00F355EE" w:rsidRDefault="00F355EE" w:rsidP="00F355EE">
      <w:pPr>
        <w:spacing w:line="360" w:lineRule="auto"/>
        <w:ind w:left="567" w:right="567"/>
        <w:jc w:val="both"/>
        <w:rPr>
          <w:rFonts w:ascii="Palatino Linotype" w:hAnsi="Palatino Linotype" w:cs="Tahoma"/>
          <w:bCs/>
        </w:rPr>
      </w:pPr>
      <w:r w:rsidRPr="00F355EE">
        <w:rPr>
          <w:rFonts w:ascii="Palatino Linotype" w:hAnsi="Palatino Linotype" w:cs="Tahoma"/>
          <w:bCs/>
        </w:rPr>
        <w:t xml:space="preserve">En respuesta, se hace del conocimiento </w:t>
      </w:r>
      <w:r>
        <w:rPr>
          <w:rFonts w:ascii="Palatino Linotype" w:hAnsi="Palatino Linotype" w:cs="Tahoma"/>
          <w:bCs/>
        </w:rPr>
        <w:t>que l</w:t>
      </w:r>
      <w:r w:rsidRPr="00F355EE">
        <w:rPr>
          <w:rFonts w:ascii="Palatino Linotype" w:hAnsi="Palatino Linotype" w:cs="Tahoma"/>
          <w:bCs/>
        </w:rPr>
        <w:t xml:space="preserve">a Ley de Transparencia y Acceso a la </w:t>
      </w:r>
      <w:r>
        <w:rPr>
          <w:rFonts w:ascii="Palatino Linotype" w:hAnsi="Palatino Linotype" w:cs="Tahoma"/>
          <w:bCs/>
        </w:rPr>
        <w:t>I</w:t>
      </w:r>
      <w:r w:rsidRPr="00F355EE">
        <w:rPr>
          <w:rFonts w:ascii="Palatino Linotype" w:hAnsi="Palatino Linotype" w:cs="Tahoma"/>
          <w:bCs/>
        </w:rPr>
        <w:t>nformación</w:t>
      </w:r>
      <w:r>
        <w:rPr>
          <w:rFonts w:ascii="Palatino Linotype" w:hAnsi="Palatino Linotype" w:cs="Tahoma"/>
          <w:bCs/>
        </w:rPr>
        <w:t xml:space="preserve"> </w:t>
      </w:r>
      <w:r w:rsidRPr="00F355EE">
        <w:rPr>
          <w:rFonts w:ascii="Palatino Linotype" w:hAnsi="Palatino Linotype" w:cs="Tahoma"/>
          <w:bCs/>
        </w:rPr>
        <w:t>Pública tiene por objeto establecer los procedimientos para garantizar el derecho humano de</w:t>
      </w:r>
      <w:r>
        <w:rPr>
          <w:rFonts w:ascii="Palatino Linotype" w:hAnsi="Palatino Linotype" w:cs="Tahoma"/>
          <w:bCs/>
        </w:rPr>
        <w:t xml:space="preserve"> </w:t>
      </w:r>
      <w:r w:rsidRPr="00F355EE">
        <w:rPr>
          <w:rFonts w:ascii="Palatino Linotype" w:hAnsi="Palatino Linotype" w:cs="Tahoma"/>
          <w:bCs/>
        </w:rPr>
        <w:t>acceso a la información pública en posesión de los sujetos obligados.</w:t>
      </w:r>
    </w:p>
    <w:p w:rsidR="00F355EE" w:rsidRDefault="00F355EE" w:rsidP="00F355EE">
      <w:pPr>
        <w:spacing w:line="360" w:lineRule="auto"/>
        <w:ind w:left="567" w:right="567"/>
        <w:jc w:val="both"/>
        <w:rPr>
          <w:rFonts w:ascii="Palatino Linotype" w:hAnsi="Palatino Linotype" w:cs="Tahoma"/>
          <w:bCs/>
        </w:rPr>
      </w:pPr>
      <w:r w:rsidRPr="00F355EE">
        <w:rPr>
          <w:rFonts w:ascii="Palatino Linotype" w:hAnsi="Palatino Linotype" w:cs="Tahoma"/>
          <w:bCs/>
        </w:rPr>
        <w:lastRenderedPageBreak/>
        <w:t>En el mismo sentido, esto se materializa a través del acceso a la información a través de</w:t>
      </w:r>
      <w:r>
        <w:rPr>
          <w:rFonts w:ascii="Palatino Linotype" w:hAnsi="Palatino Linotype" w:cs="Tahoma"/>
          <w:bCs/>
        </w:rPr>
        <w:t xml:space="preserve"> </w:t>
      </w:r>
      <w:r w:rsidRPr="00F355EE">
        <w:rPr>
          <w:rFonts w:ascii="Palatino Linotype" w:hAnsi="Palatino Linotype" w:cs="Tahoma"/>
          <w:bCs/>
        </w:rPr>
        <w:t>documentos que deriven del ejercicio de facultades, competencias o funciones de los de los sujetos</w:t>
      </w:r>
      <w:r>
        <w:rPr>
          <w:rFonts w:ascii="Palatino Linotype" w:hAnsi="Palatino Linotype" w:cs="Tahoma"/>
          <w:bCs/>
        </w:rPr>
        <w:t xml:space="preserve"> </w:t>
      </w:r>
      <w:r w:rsidRPr="00F355EE">
        <w:rPr>
          <w:rFonts w:ascii="Palatino Linotype" w:hAnsi="Palatino Linotype" w:cs="Tahoma"/>
          <w:bCs/>
        </w:rPr>
        <w:t>obligados.</w:t>
      </w:r>
    </w:p>
    <w:p w:rsidR="00F355EE" w:rsidRDefault="00F355EE" w:rsidP="00F355EE">
      <w:pPr>
        <w:spacing w:line="360" w:lineRule="auto"/>
        <w:ind w:left="567" w:right="567"/>
        <w:jc w:val="both"/>
        <w:rPr>
          <w:rFonts w:ascii="Palatino Linotype" w:hAnsi="Palatino Linotype" w:cs="Tahoma"/>
          <w:bCs/>
        </w:rPr>
      </w:pPr>
      <w:r w:rsidRPr="00F355EE">
        <w:rPr>
          <w:rFonts w:ascii="Palatino Linotype" w:hAnsi="Palatino Linotype" w:cs="Tahoma"/>
          <w:bCs/>
        </w:rPr>
        <w:t>Así, se entiende como documento a los expedientes, reportes, estudios, actas, resoluciones,</w:t>
      </w:r>
      <w:r>
        <w:rPr>
          <w:rFonts w:ascii="Palatino Linotype" w:hAnsi="Palatino Linotype" w:cs="Tahoma"/>
          <w:bCs/>
        </w:rPr>
        <w:t xml:space="preserve"> </w:t>
      </w:r>
      <w:r w:rsidRPr="00F355EE">
        <w:rPr>
          <w:rFonts w:ascii="Palatino Linotype" w:hAnsi="Palatino Linotype" w:cs="Tahoma"/>
          <w:bCs/>
        </w:rPr>
        <w:t>oficios, correspondencia, acuerdos, directivas</w:t>
      </w:r>
      <w:r>
        <w:rPr>
          <w:rFonts w:ascii="Palatino Linotype" w:hAnsi="Palatino Linotype" w:cs="Tahoma"/>
          <w:bCs/>
        </w:rPr>
        <w:t xml:space="preserve">, </w:t>
      </w:r>
      <w:r w:rsidRPr="00F355EE">
        <w:rPr>
          <w:rFonts w:ascii="Palatino Linotype" w:hAnsi="Palatino Linotype" w:cs="Tahoma"/>
          <w:bCs/>
        </w:rPr>
        <w:t>direct</w:t>
      </w:r>
      <w:r>
        <w:rPr>
          <w:rFonts w:ascii="Palatino Linotype" w:hAnsi="Palatino Linotype" w:cs="Tahoma"/>
          <w:bCs/>
        </w:rPr>
        <w:t>ri</w:t>
      </w:r>
      <w:r w:rsidRPr="00F355EE">
        <w:rPr>
          <w:rFonts w:ascii="Palatino Linotype" w:hAnsi="Palatino Linotype" w:cs="Tahoma"/>
          <w:bCs/>
        </w:rPr>
        <w:t>ces, circulares, contratos, convenios,</w:t>
      </w:r>
      <w:r>
        <w:rPr>
          <w:rFonts w:ascii="Palatino Linotype" w:hAnsi="Palatino Linotype" w:cs="Tahoma"/>
          <w:bCs/>
        </w:rPr>
        <w:t xml:space="preserve"> </w:t>
      </w:r>
      <w:r w:rsidRPr="00F355EE">
        <w:rPr>
          <w:rFonts w:ascii="Palatino Linotype" w:hAnsi="Palatino Linotype" w:cs="Tahoma"/>
          <w:bCs/>
        </w:rPr>
        <w:t>instructivos, notas, memorandos, estadística y podrán estar en cualquier medio, escrito, impreso,</w:t>
      </w:r>
      <w:r>
        <w:rPr>
          <w:rFonts w:ascii="Palatino Linotype" w:hAnsi="Palatino Linotype" w:cs="Tahoma"/>
          <w:bCs/>
        </w:rPr>
        <w:t xml:space="preserve"> </w:t>
      </w:r>
      <w:r w:rsidRPr="00F355EE">
        <w:rPr>
          <w:rFonts w:ascii="Palatino Linotype" w:hAnsi="Palatino Linotype" w:cs="Tahoma"/>
          <w:bCs/>
        </w:rPr>
        <w:t xml:space="preserve">sonoro, visual, electrónico, informático u holográfico de </w:t>
      </w:r>
      <w:r>
        <w:rPr>
          <w:rFonts w:ascii="Palatino Linotype" w:hAnsi="Palatino Linotype" w:cs="Tahoma"/>
          <w:bCs/>
        </w:rPr>
        <w:t xml:space="preserve">acuerdo </w:t>
      </w:r>
      <w:r w:rsidRPr="00F355EE">
        <w:rPr>
          <w:rFonts w:ascii="Palatino Linotype" w:hAnsi="Palatino Linotype" w:cs="Tahoma"/>
          <w:bCs/>
        </w:rPr>
        <w:t>a lo previsto en los ar</w:t>
      </w:r>
      <w:r>
        <w:rPr>
          <w:rFonts w:ascii="Palatino Linotype" w:hAnsi="Palatino Linotype" w:cs="Tahoma"/>
          <w:bCs/>
        </w:rPr>
        <w:t>t</w:t>
      </w:r>
      <w:r w:rsidRPr="00F355EE">
        <w:rPr>
          <w:rFonts w:ascii="Palatino Linotype" w:hAnsi="Palatino Linotype" w:cs="Tahoma"/>
          <w:bCs/>
        </w:rPr>
        <w:t>ículos 1, 2</w:t>
      </w:r>
      <w:r>
        <w:rPr>
          <w:rFonts w:ascii="Palatino Linotype" w:hAnsi="Palatino Linotype" w:cs="Tahoma"/>
          <w:bCs/>
        </w:rPr>
        <w:t xml:space="preserve"> fracción, </w:t>
      </w:r>
      <w:proofErr w:type="spellStart"/>
      <w:r w:rsidRPr="00F355EE">
        <w:rPr>
          <w:rFonts w:ascii="Palatino Linotype" w:hAnsi="Palatino Linotype" w:cs="Tahoma"/>
          <w:bCs/>
        </w:rPr>
        <w:t>Xl</w:t>
      </w:r>
      <w:proofErr w:type="spellEnd"/>
      <w:r w:rsidRPr="00F355EE">
        <w:rPr>
          <w:rFonts w:ascii="Palatino Linotype" w:hAnsi="Palatino Linotype" w:cs="Tahoma"/>
          <w:bCs/>
        </w:rPr>
        <w:t xml:space="preserve"> y </w:t>
      </w:r>
      <w:r w:rsidR="000A45D9">
        <w:rPr>
          <w:rFonts w:ascii="Palatino Linotype" w:hAnsi="Palatino Linotype" w:cs="Tahoma"/>
          <w:bCs/>
        </w:rPr>
        <w:t>18</w:t>
      </w:r>
      <w:r w:rsidRPr="00F355EE">
        <w:rPr>
          <w:rFonts w:ascii="Palatino Linotype" w:hAnsi="Palatino Linotype" w:cs="Tahoma"/>
          <w:bCs/>
        </w:rPr>
        <w:t xml:space="preserve"> de la citada Ley.</w:t>
      </w:r>
    </w:p>
    <w:p w:rsidR="00F355EE" w:rsidRDefault="00F355EE" w:rsidP="00F355EE">
      <w:pPr>
        <w:spacing w:line="360" w:lineRule="auto"/>
        <w:ind w:left="567" w:right="567"/>
        <w:jc w:val="both"/>
        <w:rPr>
          <w:rFonts w:ascii="Palatino Linotype" w:hAnsi="Palatino Linotype" w:cs="Tahoma"/>
          <w:bCs/>
        </w:rPr>
      </w:pPr>
      <w:r w:rsidRPr="00F355EE">
        <w:rPr>
          <w:rFonts w:ascii="Palatino Linotype" w:hAnsi="Palatino Linotype" w:cs="Tahoma"/>
          <w:bCs/>
        </w:rPr>
        <w:t xml:space="preserve">En el mismo orden, los sujetos obligados entregarán la información </w:t>
      </w:r>
      <w:r>
        <w:rPr>
          <w:rFonts w:ascii="Palatino Linotype" w:hAnsi="Palatino Linotype" w:cs="Tahoma"/>
          <w:bCs/>
        </w:rPr>
        <w:t>com</w:t>
      </w:r>
      <w:r w:rsidRPr="00F355EE">
        <w:rPr>
          <w:rFonts w:ascii="Palatino Linotype" w:hAnsi="Palatino Linotype" w:cs="Tahoma"/>
          <w:bCs/>
        </w:rPr>
        <w:t>o obre en sus archivos y no</w:t>
      </w:r>
      <w:r>
        <w:rPr>
          <w:rFonts w:ascii="Palatino Linotype" w:hAnsi="Palatino Linotype" w:cs="Tahoma"/>
          <w:bCs/>
        </w:rPr>
        <w:t xml:space="preserve"> </w:t>
      </w:r>
      <w:r w:rsidRPr="00F355EE">
        <w:rPr>
          <w:rFonts w:ascii="Palatino Linotype" w:hAnsi="Palatino Linotype" w:cs="Tahoma"/>
          <w:bCs/>
        </w:rPr>
        <w:t>están obligados a generar documentos para un fin determinado, en concordancia con el criterio</w:t>
      </w:r>
      <w:r>
        <w:rPr>
          <w:rFonts w:ascii="Palatino Linotype" w:hAnsi="Palatino Linotype" w:cs="Tahoma"/>
          <w:bCs/>
        </w:rPr>
        <w:t xml:space="preserve"> </w:t>
      </w:r>
      <w:r w:rsidRPr="00F355EE">
        <w:rPr>
          <w:rFonts w:ascii="Palatino Linotype" w:hAnsi="Palatino Linotype" w:cs="Tahoma"/>
          <w:bCs/>
        </w:rPr>
        <w:t xml:space="preserve">13/2017 emitido por el Pleno del </w:t>
      </w:r>
      <w:r>
        <w:rPr>
          <w:rFonts w:ascii="Palatino Linotype" w:hAnsi="Palatino Linotype" w:cs="Tahoma"/>
          <w:bCs/>
        </w:rPr>
        <w:t>I</w:t>
      </w:r>
      <w:r w:rsidRPr="00F355EE">
        <w:rPr>
          <w:rFonts w:ascii="Palatino Linotype" w:hAnsi="Palatino Linotype" w:cs="Tahoma"/>
          <w:bCs/>
        </w:rPr>
        <w:t xml:space="preserve">nstituto Nacional de Transparencia, Acceso a la </w:t>
      </w:r>
      <w:r>
        <w:rPr>
          <w:rFonts w:ascii="Palatino Linotype" w:hAnsi="Palatino Linotype" w:cs="Tahoma"/>
          <w:bCs/>
        </w:rPr>
        <w:t>I</w:t>
      </w:r>
      <w:r w:rsidRPr="00F355EE">
        <w:rPr>
          <w:rFonts w:ascii="Palatino Linotype" w:hAnsi="Palatino Linotype" w:cs="Tahoma"/>
          <w:bCs/>
        </w:rPr>
        <w:t>nformación</w:t>
      </w:r>
      <w:r>
        <w:rPr>
          <w:rFonts w:ascii="Palatino Linotype" w:hAnsi="Palatino Linotype" w:cs="Tahoma"/>
          <w:bCs/>
        </w:rPr>
        <w:t xml:space="preserve"> </w:t>
      </w:r>
      <w:r w:rsidRPr="00F355EE">
        <w:rPr>
          <w:rFonts w:ascii="Palatino Linotype" w:hAnsi="Palatino Linotype" w:cs="Tahoma"/>
          <w:bCs/>
        </w:rPr>
        <w:t>y Protección de Datos Personales que indica</w:t>
      </w:r>
      <w:r>
        <w:rPr>
          <w:rFonts w:ascii="Palatino Linotype" w:hAnsi="Palatino Linotype" w:cs="Tahoma"/>
          <w:bCs/>
        </w:rPr>
        <w:t>…</w:t>
      </w:r>
    </w:p>
    <w:p w:rsidR="00F355EE" w:rsidRDefault="00F355EE" w:rsidP="00F355EE">
      <w:pPr>
        <w:spacing w:line="360" w:lineRule="auto"/>
        <w:ind w:left="567" w:right="567"/>
        <w:jc w:val="both"/>
        <w:rPr>
          <w:rFonts w:ascii="Palatino Linotype" w:hAnsi="Palatino Linotype" w:cs="Tahoma"/>
          <w:bCs/>
        </w:rPr>
      </w:pPr>
      <w:r w:rsidRPr="00F355EE">
        <w:rPr>
          <w:rFonts w:ascii="Palatino Linotype" w:hAnsi="Palatino Linotype" w:cs="Tahoma"/>
          <w:bCs/>
        </w:rPr>
        <w:t>Lo anterior, en correspondencia con en el ar1ículo 12 de la Ley de Transparencia y Acceso a la</w:t>
      </w:r>
      <w:r>
        <w:rPr>
          <w:rFonts w:ascii="Palatino Linotype" w:hAnsi="Palatino Linotype" w:cs="Tahoma"/>
          <w:bCs/>
        </w:rPr>
        <w:t xml:space="preserve"> I</w:t>
      </w:r>
      <w:r w:rsidRPr="00F355EE">
        <w:rPr>
          <w:rFonts w:ascii="Palatino Linotype" w:hAnsi="Palatino Linotype" w:cs="Tahoma"/>
          <w:bCs/>
        </w:rPr>
        <w:t>nformación Pública del</w:t>
      </w:r>
      <w:r>
        <w:rPr>
          <w:rFonts w:ascii="Palatino Linotype" w:hAnsi="Palatino Linotype" w:cs="Tahoma"/>
          <w:bCs/>
        </w:rPr>
        <w:t xml:space="preserve"> Estado de México y Municipios…</w:t>
      </w:r>
    </w:p>
    <w:p w:rsidR="00F355EE" w:rsidRDefault="00F355EE" w:rsidP="00F355EE">
      <w:pPr>
        <w:spacing w:line="360" w:lineRule="auto"/>
        <w:ind w:left="567" w:right="567"/>
        <w:jc w:val="both"/>
        <w:rPr>
          <w:rFonts w:ascii="Palatino Linotype" w:hAnsi="Palatino Linotype" w:cs="Tahoma"/>
          <w:bCs/>
        </w:rPr>
      </w:pPr>
      <w:r w:rsidRPr="00F355EE">
        <w:rPr>
          <w:rFonts w:ascii="Palatino Linotype" w:hAnsi="Palatino Linotype" w:cs="Tahoma"/>
          <w:bCs/>
        </w:rPr>
        <w:t>Así, se comprueba que el derecho de acceso a la información, es un derecho documental, que</w:t>
      </w:r>
      <w:r>
        <w:rPr>
          <w:rFonts w:ascii="Palatino Linotype" w:hAnsi="Palatino Linotype" w:cs="Tahoma"/>
          <w:bCs/>
        </w:rPr>
        <w:t xml:space="preserve"> </w:t>
      </w:r>
      <w:r w:rsidRPr="00F355EE">
        <w:rPr>
          <w:rFonts w:ascii="Palatino Linotype" w:hAnsi="Palatino Linotype" w:cs="Tahoma"/>
          <w:bCs/>
        </w:rPr>
        <w:t>debe proporcionarse tal y como obre en los archivos del sujeto obligado.</w:t>
      </w:r>
      <w:r>
        <w:rPr>
          <w:rFonts w:ascii="Palatino Linotype" w:hAnsi="Palatino Linotype" w:cs="Tahoma"/>
          <w:bCs/>
        </w:rPr>
        <w:t xml:space="preserve"> </w:t>
      </w:r>
    </w:p>
    <w:p w:rsidR="00447ADA" w:rsidRDefault="00F355EE" w:rsidP="00447ADA">
      <w:pPr>
        <w:spacing w:line="360" w:lineRule="auto"/>
        <w:ind w:left="567" w:right="567"/>
        <w:jc w:val="both"/>
        <w:rPr>
          <w:rFonts w:ascii="Palatino Linotype" w:hAnsi="Palatino Linotype" w:cs="Tahoma"/>
          <w:bCs/>
        </w:rPr>
      </w:pPr>
      <w:r w:rsidRPr="00F355EE">
        <w:rPr>
          <w:rFonts w:ascii="Palatino Linotype" w:hAnsi="Palatino Linotype" w:cs="Tahoma"/>
          <w:bCs/>
        </w:rPr>
        <w:t xml:space="preserve">Ahora bien, en el presente caso, la </w:t>
      </w:r>
      <w:r>
        <w:rPr>
          <w:rFonts w:ascii="Palatino Linotype" w:hAnsi="Palatino Linotype" w:cs="Tahoma"/>
          <w:bCs/>
        </w:rPr>
        <w:t>infor</w:t>
      </w:r>
      <w:r w:rsidRPr="00F355EE">
        <w:rPr>
          <w:rFonts w:ascii="Palatino Linotype" w:hAnsi="Palatino Linotype" w:cs="Tahoma"/>
          <w:bCs/>
        </w:rPr>
        <w:t>mación solicitada no se genera ni se encuentra en los</w:t>
      </w:r>
      <w:r>
        <w:rPr>
          <w:rFonts w:ascii="Palatino Linotype" w:hAnsi="Palatino Linotype" w:cs="Tahoma"/>
          <w:bCs/>
        </w:rPr>
        <w:t xml:space="preserve"> </w:t>
      </w:r>
      <w:r w:rsidRPr="00F355EE">
        <w:rPr>
          <w:rFonts w:ascii="Palatino Linotype" w:hAnsi="Palatino Linotype" w:cs="Tahoma"/>
          <w:bCs/>
        </w:rPr>
        <w:t>archivos tal y como lo solicita, razón por la cual no es posible proporcionarla, siendo importante</w:t>
      </w:r>
      <w:r>
        <w:rPr>
          <w:rFonts w:ascii="Palatino Linotype" w:hAnsi="Palatino Linotype" w:cs="Tahoma"/>
          <w:bCs/>
        </w:rPr>
        <w:t xml:space="preserve"> </w:t>
      </w:r>
      <w:r w:rsidRPr="00F355EE">
        <w:rPr>
          <w:rFonts w:ascii="Palatino Linotype" w:hAnsi="Palatino Linotype" w:cs="Tahoma"/>
          <w:bCs/>
        </w:rPr>
        <w:t xml:space="preserve">mencionar que la Ley de Seguridad Social para </w:t>
      </w:r>
      <w:r>
        <w:rPr>
          <w:rFonts w:ascii="Palatino Linotype" w:hAnsi="Palatino Linotype" w:cs="Tahoma"/>
          <w:bCs/>
        </w:rPr>
        <w:t>l</w:t>
      </w:r>
      <w:r w:rsidRPr="00F355EE">
        <w:rPr>
          <w:rFonts w:ascii="Palatino Linotype" w:hAnsi="Palatino Linotype" w:cs="Tahoma"/>
          <w:bCs/>
        </w:rPr>
        <w:t>os Servidores Públicos del Estado de México y</w:t>
      </w:r>
      <w:r>
        <w:rPr>
          <w:rFonts w:ascii="Palatino Linotype" w:hAnsi="Palatino Linotype" w:cs="Tahoma"/>
          <w:bCs/>
        </w:rPr>
        <w:t xml:space="preserve"> </w:t>
      </w:r>
      <w:r w:rsidRPr="00F355EE">
        <w:rPr>
          <w:rFonts w:ascii="Palatino Linotype" w:hAnsi="Palatino Linotype" w:cs="Tahoma"/>
          <w:bCs/>
        </w:rPr>
        <w:t>Municipios es de observancia general y entrará en vigor a partir del 1 de enero de 2019, y su</w:t>
      </w:r>
      <w:r>
        <w:rPr>
          <w:rFonts w:ascii="Palatino Linotype" w:hAnsi="Palatino Linotype" w:cs="Tahoma"/>
          <w:bCs/>
        </w:rPr>
        <w:t xml:space="preserve"> </w:t>
      </w:r>
      <w:r w:rsidRPr="00F355EE">
        <w:rPr>
          <w:rFonts w:ascii="Palatino Linotype" w:hAnsi="Palatino Linotype" w:cs="Tahoma"/>
          <w:bCs/>
        </w:rPr>
        <w:t xml:space="preserve">información ésta disponible en la página </w:t>
      </w:r>
      <w:r>
        <w:rPr>
          <w:rFonts w:ascii="Palatino Linotype" w:hAnsi="Palatino Linotype" w:cs="Tahoma"/>
          <w:bCs/>
        </w:rPr>
        <w:t>del I</w:t>
      </w:r>
      <w:r w:rsidRPr="00F355EE">
        <w:rPr>
          <w:rFonts w:ascii="Palatino Linotype" w:hAnsi="Palatino Linotype" w:cs="Tahoma"/>
          <w:bCs/>
        </w:rPr>
        <w:t>nstituto de Seguridad Social del Estado de México y</w:t>
      </w:r>
      <w:r>
        <w:rPr>
          <w:rFonts w:ascii="Palatino Linotype" w:hAnsi="Palatino Linotype" w:cs="Tahoma"/>
          <w:bCs/>
        </w:rPr>
        <w:t xml:space="preserve"> </w:t>
      </w:r>
      <w:r w:rsidRPr="00F355EE">
        <w:rPr>
          <w:rFonts w:ascii="Palatino Linotype" w:hAnsi="Palatino Linotype" w:cs="Tahoma"/>
          <w:bCs/>
        </w:rPr>
        <w:t>Municipios, así</w:t>
      </w:r>
      <w:r w:rsidR="00447ADA">
        <w:rPr>
          <w:rFonts w:ascii="Palatino Linotype" w:hAnsi="Palatino Linotype" w:cs="Tahoma"/>
          <w:bCs/>
        </w:rPr>
        <w:t xml:space="preserve"> </w:t>
      </w:r>
      <w:r w:rsidRPr="00F355EE">
        <w:rPr>
          <w:rFonts w:ascii="Palatino Linotype" w:hAnsi="Palatino Linotype" w:cs="Tahoma"/>
          <w:bCs/>
        </w:rPr>
        <w:t xml:space="preserve">como la </w:t>
      </w:r>
      <w:r w:rsidR="00447ADA">
        <w:rPr>
          <w:rFonts w:ascii="Palatino Linotype" w:hAnsi="Palatino Linotype" w:cs="Tahoma"/>
          <w:bCs/>
        </w:rPr>
        <w:t>inform</w:t>
      </w:r>
      <w:r w:rsidRPr="00F355EE">
        <w:rPr>
          <w:rFonts w:ascii="Palatino Linotype" w:hAnsi="Palatino Linotype" w:cs="Tahoma"/>
          <w:bCs/>
        </w:rPr>
        <w:t xml:space="preserve">ación relacionada con </w:t>
      </w:r>
      <w:r w:rsidR="00447ADA">
        <w:rPr>
          <w:rFonts w:ascii="Palatino Linotype" w:hAnsi="Palatino Linotype" w:cs="Tahoma"/>
          <w:bCs/>
        </w:rPr>
        <w:t>l</w:t>
      </w:r>
      <w:r w:rsidRPr="00F355EE">
        <w:rPr>
          <w:rFonts w:ascii="Palatino Linotype" w:hAnsi="Palatino Linotype" w:cs="Tahoma"/>
          <w:bCs/>
        </w:rPr>
        <w:t xml:space="preserve">a misma, en </w:t>
      </w:r>
      <w:r w:rsidR="00447ADA">
        <w:rPr>
          <w:rFonts w:ascii="Palatino Linotype" w:hAnsi="Palatino Linotype" w:cs="Tahoma"/>
          <w:bCs/>
        </w:rPr>
        <w:t>l</w:t>
      </w:r>
      <w:r w:rsidRPr="00F355EE">
        <w:rPr>
          <w:rFonts w:ascii="Palatino Linotype" w:hAnsi="Palatino Linotype" w:cs="Tahoma"/>
          <w:bCs/>
        </w:rPr>
        <w:t>a siguiente dirección electrónica:</w:t>
      </w:r>
    </w:p>
    <w:p w:rsidR="00447ADA" w:rsidRDefault="00084EF9" w:rsidP="00447ADA">
      <w:pPr>
        <w:spacing w:line="360" w:lineRule="auto"/>
        <w:ind w:left="567" w:right="567"/>
        <w:jc w:val="both"/>
        <w:rPr>
          <w:rFonts w:ascii="Palatino Linotype" w:hAnsi="Palatino Linotype" w:cs="Tahoma"/>
          <w:bCs/>
        </w:rPr>
      </w:pPr>
      <w:hyperlink r:id="rId8" w:history="1">
        <w:r w:rsidR="00447ADA" w:rsidRPr="007123B1">
          <w:rPr>
            <w:rStyle w:val="Hipervnculo"/>
            <w:rFonts w:ascii="Palatino Linotype" w:hAnsi="Palatino Linotype" w:cs="Tahoma"/>
            <w:bCs/>
          </w:rPr>
          <w:t>http://www.issemym.gob.mx/ley_2019</w:t>
        </w:r>
      </w:hyperlink>
    </w:p>
    <w:p w:rsidR="000A45D9" w:rsidRDefault="000A45D9" w:rsidP="000A45D9">
      <w:pPr>
        <w:spacing w:line="360" w:lineRule="auto"/>
        <w:ind w:left="567" w:right="567"/>
        <w:jc w:val="both"/>
        <w:rPr>
          <w:rFonts w:ascii="Palatino Linotype" w:hAnsi="Palatino Linotype" w:cs="Tahoma"/>
          <w:bCs/>
        </w:rPr>
      </w:pPr>
      <w:r w:rsidRPr="00F355EE">
        <w:rPr>
          <w:rFonts w:ascii="Palatino Linotype" w:hAnsi="Palatino Linotype" w:cs="Tahoma"/>
          <w:bCs/>
        </w:rPr>
        <w:t>Lo anterior, bajo el principio de máxima publicidad y de acuerdo al criterio 16/17 emitido por el</w:t>
      </w:r>
      <w:r>
        <w:rPr>
          <w:rFonts w:ascii="Palatino Linotype" w:hAnsi="Palatino Linotype" w:cs="Tahoma"/>
          <w:bCs/>
        </w:rPr>
        <w:t xml:space="preserve"> </w:t>
      </w:r>
      <w:r w:rsidRPr="00F355EE">
        <w:rPr>
          <w:rFonts w:ascii="Palatino Linotype" w:hAnsi="Palatino Linotype" w:cs="Tahoma"/>
          <w:bCs/>
        </w:rPr>
        <w:t xml:space="preserve">Pleno del </w:t>
      </w:r>
      <w:r>
        <w:rPr>
          <w:rFonts w:ascii="Palatino Linotype" w:hAnsi="Palatino Linotype" w:cs="Tahoma"/>
          <w:bCs/>
        </w:rPr>
        <w:t>I</w:t>
      </w:r>
      <w:r w:rsidRPr="00F355EE">
        <w:rPr>
          <w:rFonts w:ascii="Palatino Linotype" w:hAnsi="Palatino Linotype" w:cs="Tahoma"/>
          <w:bCs/>
        </w:rPr>
        <w:t xml:space="preserve">nstituto Nacional de Transparencia, Acceso a la </w:t>
      </w:r>
      <w:r>
        <w:rPr>
          <w:rFonts w:ascii="Palatino Linotype" w:hAnsi="Palatino Linotype" w:cs="Tahoma"/>
          <w:bCs/>
        </w:rPr>
        <w:t>I</w:t>
      </w:r>
      <w:r w:rsidRPr="00F355EE">
        <w:rPr>
          <w:rFonts w:ascii="Palatino Linotype" w:hAnsi="Palatino Linotype" w:cs="Tahoma"/>
          <w:bCs/>
        </w:rPr>
        <w:t>nformación y Protección de Datos</w:t>
      </w:r>
      <w:r>
        <w:rPr>
          <w:rFonts w:ascii="Palatino Linotype" w:hAnsi="Palatino Linotype" w:cs="Tahoma"/>
          <w:bCs/>
        </w:rPr>
        <w:t xml:space="preserve"> </w:t>
      </w:r>
      <w:r w:rsidRPr="00F355EE">
        <w:rPr>
          <w:rFonts w:ascii="Palatino Linotype" w:hAnsi="Palatino Linotype" w:cs="Tahoma"/>
          <w:bCs/>
        </w:rPr>
        <w:t>Personales, que para mayor apreciación se cita:</w:t>
      </w:r>
    </w:p>
    <w:p w:rsidR="00F91CC8" w:rsidRDefault="00F91CC8" w:rsidP="000A45D9">
      <w:pPr>
        <w:spacing w:line="360" w:lineRule="auto"/>
        <w:ind w:left="567" w:right="567"/>
        <w:jc w:val="both"/>
        <w:rPr>
          <w:rFonts w:ascii="Palatino Linotype" w:hAnsi="Palatino Linotype" w:cs="Tahoma"/>
          <w:bCs/>
        </w:rPr>
      </w:pPr>
    </w:p>
    <w:p w:rsidR="000A45D9" w:rsidRDefault="000A45D9" w:rsidP="000A45D9">
      <w:pPr>
        <w:spacing w:line="360" w:lineRule="auto"/>
        <w:ind w:left="567" w:right="567"/>
        <w:jc w:val="both"/>
        <w:rPr>
          <w:rFonts w:ascii="Palatino Linotype" w:hAnsi="Palatino Linotype" w:cs="Tahoma"/>
          <w:bCs/>
        </w:rPr>
      </w:pPr>
      <w:r w:rsidRPr="00F355EE">
        <w:rPr>
          <w:rFonts w:ascii="Palatino Linotype" w:hAnsi="Palatino Linotype" w:cs="Tahoma"/>
          <w:bCs/>
        </w:rPr>
        <w:lastRenderedPageBreak/>
        <w:t>"Expresión documental. Cuando los particulares presenten solicitudes de acceso a</w:t>
      </w:r>
      <w:r>
        <w:rPr>
          <w:rFonts w:ascii="Palatino Linotype" w:hAnsi="Palatino Linotype" w:cs="Tahoma"/>
          <w:bCs/>
        </w:rPr>
        <w:t xml:space="preserve"> </w:t>
      </w:r>
      <w:r w:rsidRPr="00F355EE">
        <w:rPr>
          <w:rFonts w:ascii="Palatino Linotype" w:hAnsi="Palatino Linotype" w:cs="Tahoma"/>
          <w:bCs/>
        </w:rPr>
        <w:t>la información sin identificar de forma precisa la documentación que pudiera</w:t>
      </w:r>
      <w:r>
        <w:rPr>
          <w:rFonts w:ascii="Palatino Linotype" w:hAnsi="Palatino Linotype" w:cs="Tahoma"/>
          <w:bCs/>
        </w:rPr>
        <w:t xml:space="preserve"> </w:t>
      </w:r>
      <w:r w:rsidRPr="00F355EE">
        <w:rPr>
          <w:rFonts w:ascii="Palatino Linotype" w:hAnsi="Palatino Linotype" w:cs="Tahoma"/>
          <w:bCs/>
        </w:rPr>
        <w:t>contener la información de su interés, o bien, la solicitud constituya una consulta,</w:t>
      </w:r>
      <w:r>
        <w:rPr>
          <w:rFonts w:ascii="Palatino Linotype" w:hAnsi="Palatino Linotype" w:cs="Tahoma"/>
          <w:bCs/>
        </w:rPr>
        <w:t xml:space="preserve"> </w:t>
      </w:r>
      <w:r w:rsidRPr="00F355EE">
        <w:rPr>
          <w:rFonts w:ascii="Palatino Linotype" w:hAnsi="Palatino Linotype" w:cs="Tahoma"/>
          <w:bCs/>
        </w:rPr>
        <w:t>pero la respuesta pudiera obrar en algún documento en poder de los sujetos</w:t>
      </w:r>
      <w:r>
        <w:rPr>
          <w:rFonts w:ascii="Palatino Linotype" w:hAnsi="Palatino Linotype" w:cs="Tahoma"/>
          <w:bCs/>
        </w:rPr>
        <w:t xml:space="preserve"> </w:t>
      </w:r>
      <w:r w:rsidRPr="00F355EE">
        <w:rPr>
          <w:rFonts w:ascii="Palatino Linotype" w:hAnsi="Palatino Linotype" w:cs="Tahoma"/>
          <w:bCs/>
        </w:rPr>
        <w:t>obligados, éstos deben dar a dichas solicitudes una interpretación que les otorgue</w:t>
      </w:r>
      <w:r>
        <w:rPr>
          <w:rFonts w:ascii="Palatino Linotype" w:hAnsi="Palatino Linotype" w:cs="Tahoma"/>
          <w:bCs/>
        </w:rPr>
        <w:t xml:space="preserve"> </w:t>
      </w:r>
      <w:r w:rsidRPr="00F355EE">
        <w:rPr>
          <w:rFonts w:ascii="Palatino Linotype" w:hAnsi="Palatino Linotype" w:cs="Tahoma"/>
          <w:bCs/>
        </w:rPr>
        <w:t>una expresión documental."</w:t>
      </w:r>
      <w:r>
        <w:rPr>
          <w:rFonts w:ascii="Palatino Linotype" w:hAnsi="Palatino Linotype" w:cs="Tahoma"/>
          <w:bCs/>
        </w:rPr>
        <w:t xml:space="preserve"> </w:t>
      </w:r>
    </w:p>
    <w:p w:rsidR="000A45D9" w:rsidRDefault="000A45D9" w:rsidP="000A45D9">
      <w:pPr>
        <w:spacing w:line="360" w:lineRule="auto"/>
        <w:ind w:left="567" w:right="567"/>
        <w:jc w:val="both"/>
        <w:rPr>
          <w:rFonts w:ascii="Palatino Linotype" w:hAnsi="Palatino Linotype" w:cs="Tahoma"/>
          <w:bCs/>
        </w:rPr>
      </w:pPr>
      <w:r w:rsidRPr="00F355EE">
        <w:rPr>
          <w:rFonts w:ascii="Palatino Linotype" w:hAnsi="Palatino Linotype" w:cs="Tahoma"/>
          <w:bCs/>
        </w:rPr>
        <w:t>En el mismo sentido, de acuerdo a lo comunicado por el Servidor Público Habilitado de la</w:t>
      </w:r>
      <w:r>
        <w:rPr>
          <w:rFonts w:ascii="Palatino Linotype" w:hAnsi="Palatino Linotype" w:cs="Tahoma"/>
          <w:bCs/>
        </w:rPr>
        <w:t xml:space="preserve"> </w:t>
      </w:r>
      <w:r w:rsidRPr="00F355EE">
        <w:rPr>
          <w:rFonts w:ascii="Palatino Linotype" w:hAnsi="Palatino Linotype" w:cs="Tahoma"/>
          <w:bCs/>
        </w:rPr>
        <w:t xml:space="preserve">Coordinación de Prestaciones y Seguridad Social, se informa en relación a: </w:t>
      </w:r>
      <w:r w:rsidRPr="00447ADA">
        <w:rPr>
          <w:rFonts w:ascii="Palatino Linotype" w:hAnsi="Palatino Linotype" w:cs="Tahoma"/>
          <w:bCs/>
          <w:i/>
        </w:rPr>
        <w:t>"...-Actividades realizadas para orient</w:t>
      </w:r>
      <w:r w:rsidR="0041495B">
        <w:rPr>
          <w:rFonts w:ascii="Palatino Linotype" w:hAnsi="Palatino Linotype" w:cs="Tahoma"/>
          <w:bCs/>
          <w:i/>
        </w:rPr>
        <w:t>ar a los Servidores Púbicos de l</w:t>
      </w:r>
      <w:r w:rsidRPr="00447ADA">
        <w:rPr>
          <w:rFonts w:ascii="Palatino Linotype" w:hAnsi="Palatino Linotype" w:cs="Tahoma"/>
          <w:bCs/>
          <w:i/>
        </w:rPr>
        <w:t>as dependencias y organismos del Estado, que opten de manera voluntaria emigrar a una cuenta individual, bajo el esquema denominado "Monto de la Acreditación"..."</w:t>
      </w:r>
      <w:r w:rsidRPr="00F355EE">
        <w:rPr>
          <w:rFonts w:ascii="Palatino Linotype" w:hAnsi="Palatino Linotype" w:cs="Tahoma"/>
          <w:bCs/>
        </w:rPr>
        <w:t xml:space="preserve"> y </w:t>
      </w:r>
      <w:r w:rsidRPr="00447ADA">
        <w:rPr>
          <w:rFonts w:ascii="Palatino Linotype" w:hAnsi="Palatino Linotype" w:cs="Tahoma"/>
          <w:bCs/>
          <w:i/>
        </w:rPr>
        <w:t>"...-Se indiquen las previsiones tomadas para incorporar a todos los servidores públicos que opten de manera voluntaria emigrar a una cuenta individual bajo el esquema denominado "Monto de la Acreditación... "</w:t>
      </w:r>
      <w:r w:rsidRPr="00F355EE">
        <w:rPr>
          <w:rFonts w:ascii="Palatino Linotype" w:hAnsi="Palatino Linotype" w:cs="Tahoma"/>
          <w:bCs/>
        </w:rPr>
        <w:t xml:space="preserve"> </w:t>
      </w:r>
      <w:r w:rsidRPr="00447ADA">
        <w:rPr>
          <w:rFonts w:ascii="Palatino Linotype" w:hAnsi="Palatino Linotype" w:cs="Tahoma"/>
          <w:bCs/>
          <w:i/>
        </w:rPr>
        <w:t>(SIC)</w:t>
      </w:r>
      <w:r w:rsidRPr="00F355EE">
        <w:rPr>
          <w:rFonts w:ascii="Palatino Linotype" w:hAnsi="Palatino Linotype" w:cs="Tahoma"/>
          <w:bCs/>
        </w:rPr>
        <w:t>.</w:t>
      </w:r>
    </w:p>
    <w:p w:rsidR="000A45D9" w:rsidRDefault="000A45D9" w:rsidP="000A45D9">
      <w:pPr>
        <w:autoSpaceDE w:val="0"/>
        <w:autoSpaceDN w:val="0"/>
        <w:adjustRightInd w:val="0"/>
        <w:spacing w:line="360" w:lineRule="auto"/>
        <w:ind w:left="567" w:right="567"/>
        <w:jc w:val="both"/>
        <w:rPr>
          <w:rFonts w:ascii="Palatino Linotype" w:eastAsiaTheme="minorHAnsi" w:hAnsi="Palatino Linotype" w:cs="Arial"/>
          <w:lang w:eastAsia="en-US"/>
        </w:rPr>
      </w:pPr>
      <w:r w:rsidRPr="00447ADA">
        <w:rPr>
          <w:rFonts w:ascii="Palatino Linotype" w:hAnsi="Palatino Linotype" w:cs="Tahoma"/>
          <w:bCs/>
        </w:rPr>
        <w:t>De acuerdo a lo previsto en los títulos noveno, décimo y décimo primero transitorios de la Ley de Seguridad Social para los Servidores Públicos del Estado de México y Municipios, se establece el</w:t>
      </w:r>
      <w:r w:rsidRPr="00447ADA">
        <w:rPr>
          <w:rFonts w:ascii="Palatino Linotype" w:hAnsi="Palatino Linotype" w:cs="Tahoma"/>
          <w:b/>
          <w:bCs/>
          <w:lang w:val="es-ES"/>
        </w:rPr>
        <w:t xml:space="preserve"> </w:t>
      </w:r>
      <w:r w:rsidRPr="00447ADA">
        <w:rPr>
          <w:rFonts w:ascii="Palatino Linotype" w:eastAsiaTheme="minorHAnsi" w:hAnsi="Palatino Linotype" w:cs="Arial"/>
          <w:lang w:eastAsia="en-US"/>
        </w:rPr>
        <w:t>procedimiento que deben seguir los servidores públicos que opten por migrar al régimen de cuenta</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individual que se sujeta a las previsiones que dispone dicha ley, Es importante aclarar que la</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incorporación de los servidores públicos que opten por migrar al régimen de cuenta individual se</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sujeta a las previsiones que dispone el ordenamiento en cita.</w:t>
      </w:r>
    </w:p>
    <w:p w:rsidR="000A45D9" w:rsidRDefault="000A45D9" w:rsidP="000A45D9">
      <w:pPr>
        <w:autoSpaceDE w:val="0"/>
        <w:autoSpaceDN w:val="0"/>
        <w:adjustRightInd w:val="0"/>
        <w:spacing w:line="360" w:lineRule="auto"/>
        <w:ind w:left="567" w:right="567"/>
        <w:jc w:val="both"/>
        <w:rPr>
          <w:rFonts w:ascii="Palatino Linotype" w:eastAsiaTheme="minorHAnsi" w:hAnsi="Palatino Linotype" w:cs="Arial"/>
          <w:i/>
          <w:lang w:eastAsia="en-US"/>
        </w:rPr>
      </w:pPr>
      <w:r w:rsidRPr="00447ADA">
        <w:rPr>
          <w:rFonts w:ascii="Palatino Linotype" w:eastAsiaTheme="minorHAnsi" w:hAnsi="Palatino Linotype" w:cs="Arial"/>
          <w:lang w:eastAsia="en-US"/>
        </w:rPr>
        <w:t>Asimismo, de acuerdo a lo comunicado por el Servidor Público Habilitado de la Coordinación de</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 xml:space="preserve">Finanzas, se informa en relación a'. </w:t>
      </w:r>
      <w:r w:rsidRPr="00447ADA">
        <w:rPr>
          <w:rFonts w:ascii="Palatino Linotype" w:eastAsiaTheme="minorHAnsi" w:hAnsi="Palatino Linotype" w:cs="Arial"/>
          <w:i/>
          <w:lang w:eastAsia="en-US"/>
        </w:rPr>
        <w:t>"...Si se cuenta con las previsiones presupuestales liquidas para realizar las transferencias, depósitos, o movimientos bancarios a las cuentas individuales que señala la nueva Ley de Seguridad Social para los Servidores Públicos del Estado de México y Municipios, considerada como "Monto de la Acreditación" establecido en el Considerando NOVENO y DÉCIMO de dicho ordenamiento... "(</w:t>
      </w:r>
      <w:proofErr w:type="spellStart"/>
      <w:r w:rsidRPr="00447ADA">
        <w:rPr>
          <w:rFonts w:ascii="Palatino Linotype" w:eastAsiaTheme="minorHAnsi" w:hAnsi="Palatino Linotype" w:cs="Arial"/>
          <w:i/>
          <w:lang w:eastAsia="en-US"/>
        </w:rPr>
        <w:t>SlC</w:t>
      </w:r>
      <w:proofErr w:type="spellEnd"/>
      <w:r w:rsidRPr="00447ADA">
        <w:rPr>
          <w:rFonts w:ascii="Palatino Linotype" w:eastAsiaTheme="minorHAnsi" w:hAnsi="Palatino Linotype" w:cs="Arial"/>
          <w:i/>
          <w:lang w:eastAsia="en-US"/>
        </w:rPr>
        <w:t>)</w:t>
      </w:r>
    </w:p>
    <w:p w:rsidR="00F91CC8" w:rsidRPr="00447ADA" w:rsidRDefault="00F91CC8" w:rsidP="000A45D9">
      <w:pPr>
        <w:autoSpaceDE w:val="0"/>
        <w:autoSpaceDN w:val="0"/>
        <w:adjustRightInd w:val="0"/>
        <w:spacing w:line="360" w:lineRule="auto"/>
        <w:ind w:left="567" w:right="567"/>
        <w:jc w:val="both"/>
        <w:rPr>
          <w:rFonts w:ascii="Palatino Linotype" w:eastAsiaTheme="minorHAnsi" w:hAnsi="Palatino Linotype" w:cs="Arial"/>
          <w:lang w:eastAsia="en-US"/>
        </w:rPr>
      </w:pPr>
    </w:p>
    <w:p w:rsidR="000A45D9" w:rsidRDefault="009A7F66" w:rsidP="000A45D9">
      <w:pPr>
        <w:autoSpaceDE w:val="0"/>
        <w:autoSpaceDN w:val="0"/>
        <w:adjustRightInd w:val="0"/>
        <w:spacing w:line="360" w:lineRule="auto"/>
        <w:ind w:left="567" w:right="567"/>
        <w:jc w:val="both"/>
        <w:rPr>
          <w:rFonts w:ascii="Palatino Linotype" w:eastAsiaTheme="minorHAnsi" w:hAnsi="Palatino Linotype" w:cs="Arial"/>
          <w:lang w:eastAsia="en-US"/>
        </w:rPr>
      </w:pPr>
      <w:r>
        <w:rPr>
          <w:rFonts w:ascii="Palatino Linotype" w:eastAsiaTheme="minorHAnsi" w:hAnsi="Palatino Linotype" w:cs="Arial"/>
          <w:lang w:eastAsia="en-US"/>
        </w:rPr>
        <w:lastRenderedPageBreak/>
        <w:t>Al</w:t>
      </w:r>
      <w:r w:rsidR="000A45D9" w:rsidRPr="00447ADA">
        <w:rPr>
          <w:rFonts w:ascii="Palatino Linotype" w:eastAsiaTheme="minorHAnsi" w:hAnsi="Palatino Linotype" w:cs="Arial"/>
          <w:lang w:eastAsia="en-US"/>
        </w:rPr>
        <w:t xml:space="preserve"> respecto, se le comunica que no se requiere presupuesto para incorporar a los servidores</w:t>
      </w:r>
      <w:r w:rsidR="000A45D9">
        <w:rPr>
          <w:rFonts w:ascii="Palatino Linotype" w:eastAsiaTheme="minorHAnsi" w:hAnsi="Palatino Linotype" w:cs="Arial"/>
          <w:lang w:eastAsia="en-US"/>
        </w:rPr>
        <w:t xml:space="preserve"> </w:t>
      </w:r>
      <w:r w:rsidR="000A45D9" w:rsidRPr="00447ADA">
        <w:rPr>
          <w:rFonts w:ascii="Palatino Linotype" w:eastAsiaTheme="minorHAnsi" w:hAnsi="Palatino Linotype" w:cs="Arial"/>
          <w:lang w:eastAsia="en-US"/>
        </w:rPr>
        <w:t xml:space="preserve">públicos que opten de manera voluntaria migrar a una cuenta individual bajo el </w:t>
      </w:r>
      <w:r w:rsidR="000A45D9">
        <w:rPr>
          <w:rFonts w:ascii="Palatino Linotype" w:eastAsiaTheme="minorHAnsi" w:hAnsi="Palatino Linotype" w:cs="Arial"/>
          <w:lang w:eastAsia="en-US"/>
        </w:rPr>
        <w:t xml:space="preserve">esquema </w:t>
      </w:r>
      <w:r w:rsidR="000A45D9" w:rsidRPr="00447ADA">
        <w:rPr>
          <w:rFonts w:ascii="Palatino Linotype" w:eastAsiaTheme="minorHAnsi" w:hAnsi="Palatino Linotype" w:cs="Arial"/>
          <w:lang w:eastAsia="en-US"/>
        </w:rPr>
        <w:t>denominado "Monto de la Acreditación".</w:t>
      </w:r>
    </w:p>
    <w:p w:rsidR="000A45D9" w:rsidRDefault="000A45D9" w:rsidP="000A45D9">
      <w:pPr>
        <w:autoSpaceDE w:val="0"/>
        <w:autoSpaceDN w:val="0"/>
        <w:adjustRightInd w:val="0"/>
        <w:spacing w:line="360" w:lineRule="auto"/>
        <w:ind w:left="567" w:right="567"/>
        <w:jc w:val="both"/>
        <w:rPr>
          <w:rFonts w:ascii="Palatino Linotype" w:eastAsiaTheme="minorHAnsi" w:hAnsi="Palatino Linotype" w:cs="Arial"/>
          <w:i/>
          <w:lang w:eastAsia="en-US"/>
        </w:rPr>
      </w:pPr>
      <w:r w:rsidRPr="00447ADA">
        <w:rPr>
          <w:rFonts w:ascii="Palatino Linotype" w:eastAsiaTheme="minorHAnsi" w:hAnsi="Palatino Linotype" w:cs="Arial"/>
          <w:lang w:eastAsia="en-US"/>
        </w:rPr>
        <w:t>En el mismo orden, de acuerdo a lo comunicado por el Servidor Público Habilitado de la</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 xml:space="preserve">Coordinación de Prestaciones y Seguridad Social, en lo referente a: </w:t>
      </w:r>
      <w:r w:rsidRPr="00447ADA">
        <w:rPr>
          <w:rFonts w:ascii="Palatino Linotype" w:eastAsiaTheme="minorHAnsi" w:hAnsi="Palatino Linotype" w:cs="Arial"/>
          <w:i/>
          <w:lang w:eastAsia="en-US"/>
        </w:rPr>
        <w:t>"...Se indique la fecha o momentos establecidos para que los servidores públicos que cotizan actualmente en el Fondo Solidario y que opten de manera voluntaria emigrar a una cuenta individual bajo el esquema denominado "Monto de la Acreditación"; puedan realizarlo...." (SIC)</w:t>
      </w:r>
    </w:p>
    <w:p w:rsidR="000A45D9" w:rsidRDefault="000A45D9" w:rsidP="000A45D9">
      <w:pPr>
        <w:autoSpaceDE w:val="0"/>
        <w:autoSpaceDN w:val="0"/>
        <w:adjustRightInd w:val="0"/>
        <w:spacing w:line="360" w:lineRule="auto"/>
        <w:ind w:left="567" w:right="567"/>
        <w:jc w:val="both"/>
        <w:rPr>
          <w:rFonts w:ascii="Arial" w:eastAsiaTheme="minorHAnsi" w:hAnsi="Arial" w:cs="Arial"/>
          <w:sz w:val="21"/>
          <w:szCs w:val="21"/>
          <w:lang w:eastAsia="en-US"/>
        </w:rPr>
      </w:pPr>
      <w:r w:rsidRPr="00447ADA">
        <w:rPr>
          <w:rFonts w:ascii="Palatino Linotype" w:eastAsiaTheme="minorHAnsi" w:hAnsi="Palatino Linotype" w:cs="Arial"/>
          <w:lang w:eastAsia="en-US"/>
        </w:rPr>
        <w:t>En respuesta, se le comunica que con fundamento en el artículo décimo primero transitorio de la</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Ley para los Servidores Públicos del Estado de México y Municipios, que entrará en vigor a partir</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del 1 de Enero del 2019, se establece:</w:t>
      </w:r>
      <w:r w:rsidRPr="00447ADA">
        <w:rPr>
          <w:rFonts w:ascii="Arial" w:eastAsiaTheme="minorHAnsi" w:hAnsi="Arial" w:cs="Arial"/>
          <w:sz w:val="21"/>
          <w:szCs w:val="21"/>
          <w:lang w:eastAsia="en-US"/>
        </w:rPr>
        <w:t xml:space="preserve"> </w:t>
      </w:r>
    </w:p>
    <w:p w:rsidR="000A45D9" w:rsidRDefault="000A45D9" w:rsidP="000A45D9">
      <w:pPr>
        <w:autoSpaceDE w:val="0"/>
        <w:autoSpaceDN w:val="0"/>
        <w:adjustRightInd w:val="0"/>
        <w:spacing w:line="360" w:lineRule="auto"/>
        <w:ind w:left="567" w:right="567"/>
        <w:jc w:val="both"/>
        <w:rPr>
          <w:rFonts w:ascii="Palatino Linotype" w:eastAsiaTheme="minorHAnsi" w:hAnsi="Palatino Linotype" w:cs="Arial"/>
          <w:i/>
          <w:lang w:eastAsia="en-US"/>
        </w:rPr>
      </w:pPr>
      <w:r w:rsidRPr="00C31E5F">
        <w:rPr>
          <w:rFonts w:ascii="Palatino Linotype" w:eastAsiaTheme="minorHAnsi" w:hAnsi="Palatino Linotype" w:cs="Arial"/>
          <w:i/>
          <w:lang w:eastAsia="en-US"/>
        </w:rPr>
        <w:t>"Los Servidores Públicos tendrán tres meses a partir ce que tengan conocimiento del cálculo preliminar de su Acreditación, para manifestar a través de los mecanismos que determine el Instituto, si optan por migrar al régimen de pensiones establecido en esta Ley y se les realice la Acreditación."</w:t>
      </w:r>
    </w:p>
    <w:p w:rsidR="000A45D9" w:rsidRPr="00C31E5F" w:rsidRDefault="000A45D9" w:rsidP="000A45D9">
      <w:pPr>
        <w:autoSpaceDE w:val="0"/>
        <w:autoSpaceDN w:val="0"/>
        <w:adjustRightInd w:val="0"/>
        <w:spacing w:line="360" w:lineRule="auto"/>
        <w:ind w:left="567" w:right="567"/>
        <w:jc w:val="both"/>
        <w:rPr>
          <w:rFonts w:ascii="Palatino Linotype" w:eastAsiaTheme="minorHAnsi" w:hAnsi="Palatino Linotype" w:cs="Arial"/>
          <w:i/>
          <w:lang w:eastAsia="en-US"/>
        </w:rPr>
      </w:pPr>
      <w:r w:rsidRPr="00447ADA">
        <w:rPr>
          <w:rFonts w:ascii="Palatino Linotype" w:eastAsiaTheme="minorHAnsi" w:hAnsi="Palatino Linotype" w:cs="Arial"/>
          <w:lang w:eastAsia="en-US"/>
        </w:rPr>
        <w:t xml:space="preserve">De la misma manera, en cuanto a: </w:t>
      </w:r>
      <w:r w:rsidRPr="00C31E5F">
        <w:rPr>
          <w:rFonts w:ascii="Palatino Linotype" w:eastAsiaTheme="minorHAnsi" w:hAnsi="Palatino Linotype" w:cs="Arial"/>
          <w:i/>
          <w:lang w:eastAsia="en-US"/>
        </w:rPr>
        <w:t>"...Se indique si a la fecha existe ya un procedimiento para llevarse a cabo por parte los servidores públicos que cotizan actualmente en el Fondo Solidario y que opten de manera voluntaria emigrar a una cuenta individual bajo el esquema denominado "Monto de la Acreditación", en su caso proporcionarlo. ..," (SIC)</w:t>
      </w:r>
    </w:p>
    <w:p w:rsidR="000A45D9" w:rsidRPr="00447ADA" w:rsidRDefault="000A45D9" w:rsidP="000A45D9">
      <w:pPr>
        <w:autoSpaceDE w:val="0"/>
        <w:autoSpaceDN w:val="0"/>
        <w:adjustRightInd w:val="0"/>
        <w:spacing w:line="360" w:lineRule="auto"/>
        <w:ind w:left="567" w:right="567"/>
        <w:jc w:val="both"/>
        <w:rPr>
          <w:rFonts w:ascii="Palatino Linotype" w:hAnsi="Palatino Linotype" w:cs="Tahoma"/>
          <w:b/>
          <w:bCs/>
          <w:lang w:val="es-ES"/>
        </w:rPr>
      </w:pPr>
      <w:r w:rsidRPr="00447ADA">
        <w:rPr>
          <w:rFonts w:ascii="Palatino Linotype" w:eastAsiaTheme="minorHAnsi" w:hAnsi="Palatino Linotype" w:cs="Arial"/>
          <w:lang w:eastAsia="en-US"/>
        </w:rPr>
        <w:t>Se hace del conocimiento del partic</w:t>
      </w:r>
      <w:r w:rsidR="00F71280">
        <w:rPr>
          <w:rFonts w:ascii="Palatino Linotype" w:eastAsiaTheme="minorHAnsi" w:hAnsi="Palatino Linotype" w:cs="Arial"/>
          <w:lang w:eastAsia="en-US"/>
        </w:rPr>
        <w:t>ular que, en el presente caso, l</w:t>
      </w:r>
      <w:r w:rsidRPr="00447ADA">
        <w:rPr>
          <w:rFonts w:ascii="Palatino Linotype" w:eastAsiaTheme="minorHAnsi" w:hAnsi="Palatino Linotype" w:cs="Arial"/>
          <w:lang w:eastAsia="en-US"/>
        </w:rPr>
        <w:t>a información solicitada no se</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genera ni se encuentra en los archivos tal y como lo solicita, razón por la cual no es posible</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proporcionarla, siendo importante mencionar que la Ley de Seguridad Social para los Servidores</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Públicos del Estado de México y Municipios es de observancia general y entrará en vigor a partir del</w:t>
      </w:r>
      <w:r>
        <w:rPr>
          <w:rFonts w:ascii="Palatino Linotype" w:eastAsiaTheme="minorHAnsi" w:hAnsi="Palatino Linotype" w:cs="Arial"/>
          <w:lang w:eastAsia="en-US"/>
        </w:rPr>
        <w:t xml:space="preserve"> 1 de enero de 20</w:t>
      </w:r>
      <w:r w:rsidRPr="00447ADA">
        <w:rPr>
          <w:rFonts w:ascii="Palatino Linotype" w:eastAsiaTheme="minorHAnsi" w:hAnsi="Palatino Linotype" w:cs="Arial"/>
          <w:lang w:eastAsia="en-US"/>
        </w:rPr>
        <w:t xml:space="preserve">19, y su </w:t>
      </w:r>
      <w:r>
        <w:rPr>
          <w:rFonts w:ascii="Palatino Linotype" w:eastAsiaTheme="minorHAnsi" w:hAnsi="Palatino Linotype" w:cs="Arial"/>
          <w:lang w:eastAsia="en-US"/>
        </w:rPr>
        <w:t>información ésta disponible en la página del I</w:t>
      </w:r>
      <w:r w:rsidRPr="00447ADA">
        <w:rPr>
          <w:rFonts w:ascii="Palatino Linotype" w:eastAsiaTheme="minorHAnsi" w:hAnsi="Palatino Linotype" w:cs="Arial"/>
          <w:lang w:eastAsia="en-US"/>
        </w:rPr>
        <w:t>nstituto de Seguridad Social</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 xml:space="preserve">del Estado de México y </w:t>
      </w:r>
      <w:r>
        <w:rPr>
          <w:rFonts w:ascii="Palatino Linotype" w:eastAsiaTheme="minorHAnsi" w:hAnsi="Palatino Linotype" w:cs="Arial"/>
          <w:lang w:eastAsia="en-US"/>
        </w:rPr>
        <w:t>Municipio</w:t>
      </w:r>
      <w:r w:rsidRPr="00447ADA">
        <w:rPr>
          <w:rFonts w:ascii="Palatino Linotype" w:eastAsiaTheme="minorHAnsi" w:hAnsi="Palatino Linotype" w:cs="Arial"/>
          <w:lang w:eastAsia="en-US"/>
        </w:rPr>
        <w:t xml:space="preserve">s, </w:t>
      </w:r>
      <w:r>
        <w:rPr>
          <w:rFonts w:ascii="Palatino Linotype" w:eastAsiaTheme="minorHAnsi" w:hAnsi="Palatino Linotype" w:cs="Arial"/>
          <w:lang w:eastAsia="en-US"/>
        </w:rPr>
        <w:t>así como la información relacionada</w:t>
      </w:r>
      <w:r w:rsidRPr="00447ADA">
        <w:rPr>
          <w:rFonts w:ascii="Palatino Linotype" w:eastAsiaTheme="minorHAnsi" w:hAnsi="Palatino Linotype" w:cs="Arial"/>
          <w:lang w:eastAsia="en-US"/>
        </w:rPr>
        <w:t xml:space="preserve"> con la misma, en la</w:t>
      </w:r>
      <w:r>
        <w:rPr>
          <w:rFonts w:ascii="Palatino Linotype" w:eastAsiaTheme="minorHAnsi" w:hAnsi="Palatino Linotype" w:cs="Arial"/>
          <w:lang w:eastAsia="en-US"/>
        </w:rPr>
        <w:t xml:space="preserve"> </w:t>
      </w:r>
      <w:r w:rsidRPr="00447ADA">
        <w:rPr>
          <w:rFonts w:ascii="Palatino Linotype" w:eastAsiaTheme="minorHAnsi" w:hAnsi="Palatino Linotype" w:cs="Arial"/>
          <w:lang w:eastAsia="en-US"/>
        </w:rPr>
        <w:t>siguiente dirección electrónica:</w:t>
      </w:r>
    </w:p>
    <w:p w:rsidR="000A45D9" w:rsidRDefault="00084EF9" w:rsidP="000A45D9">
      <w:pPr>
        <w:spacing w:line="360" w:lineRule="auto"/>
        <w:ind w:left="567" w:right="567"/>
        <w:jc w:val="both"/>
        <w:rPr>
          <w:rStyle w:val="Hipervnculo"/>
          <w:rFonts w:ascii="Palatino Linotype" w:hAnsi="Palatino Linotype" w:cs="Tahoma"/>
          <w:bCs/>
        </w:rPr>
      </w:pPr>
      <w:hyperlink r:id="rId9" w:history="1">
        <w:r w:rsidR="000A45D9" w:rsidRPr="007123B1">
          <w:rPr>
            <w:rStyle w:val="Hipervnculo"/>
            <w:rFonts w:ascii="Palatino Linotype" w:hAnsi="Palatino Linotype" w:cs="Tahoma"/>
            <w:bCs/>
          </w:rPr>
          <w:t>http://www.issemym.gob.mx/ley_2019</w:t>
        </w:r>
      </w:hyperlink>
    </w:p>
    <w:p w:rsidR="00F91CC8" w:rsidRDefault="00F91CC8" w:rsidP="000A45D9">
      <w:pPr>
        <w:spacing w:line="360" w:lineRule="auto"/>
        <w:ind w:left="567" w:right="567"/>
        <w:jc w:val="both"/>
        <w:rPr>
          <w:rFonts w:ascii="Palatino Linotype" w:hAnsi="Palatino Linotype" w:cs="Tahoma"/>
          <w:bCs/>
        </w:rPr>
      </w:pPr>
    </w:p>
    <w:p w:rsidR="000A45D9" w:rsidRPr="00C31E5F" w:rsidRDefault="000A45D9" w:rsidP="000A45D9">
      <w:pPr>
        <w:spacing w:line="360" w:lineRule="auto"/>
        <w:ind w:left="567" w:right="567"/>
        <w:jc w:val="both"/>
        <w:rPr>
          <w:rFonts w:ascii="Palatino Linotype" w:hAnsi="Palatino Linotype" w:cs="Tahoma"/>
          <w:bCs/>
        </w:rPr>
      </w:pPr>
      <w:r w:rsidRPr="00C31E5F">
        <w:rPr>
          <w:rFonts w:ascii="Palatino Linotype" w:hAnsi="Palatino Linotype" w:cs="Tahoma"/>
          <w:bCs/>
        </w:rPr>
        <w:lastRenderedPageBreak/>
        <w:t xml:space="preserve">Lo anterior, considerando lo dispuesto en el ar1Ículo 12 de la Ley de Transparencia y Acceso a </w:t>
      </w:r>
      <w:r>
        <w:rPr>
          <w:rFonts w:ascii="Palatino Linotype" w:hAnsi="Palatino Linotype" w:cs="Tahoma"/>
          <w:bCs/>
        </w:rPr>
        <w:t>la I</w:t>
      </w:r>
      <w:r w:rsidRPr="00C31E5F">
        <w:rPr>
          <w:rFonts w:ascii="Palatino Linotype" w:hAnsi="Palatino Linotype" w:cs="Tahoma"/>
          <w:bCs/>
        </w:rPr>
        <w:t>nformación Pública del Estado de México y Municipios, que indica que los Sujetos Obligados sólo</w:t>
      </w:r>
      <w:r>
        <w:rPr>
          <w:rFonts w:ascii="Palatino Linotype" w:hAnsi="Palatino Linotype" w:cs="Tahoma"/>
          <w:bCs/>
        </w:rPr>
        <w:t xml:space="preserve"> </w:t>
      </w:r>
      <w:r w:rsidRPr="00C31E5F">
        <w:rPr>
          <w:rFonts w:ascii="Palatino Linotype" w:hAnsi="Palatino Linotype" w:cs="Tahoma"/>
          <w:bCs/>
        </w:rPr>
        <w:t>proporcionarán la información pública que se les requiera y que obre en sus archivos y en el estado</w:t>
      </w:r>
      <w:r>
        <w:rPr>
          <w:rFonts w:ascii="Palatino Linotype" w:hAnsi="Palatino Linotype" w:cs="Tahoma"/>
          <w:bCs/>
        </w:rPr>
        <w:t xml:space="preserve"> </w:t>
      </w:r>
      <w:r w:rsidRPr="00C31E5F">
        <w:rPr>
          <w:rFonts w:ascii="Palatino Linotype" w:hAnsi="Palatino Linotype" w:cs="Tahoma"/>
          <w:bCs/>
        </w:rPr>
        <w:t xml:space="preserve">en el que se encuentre y la </w:t>
      </w:r>
      <w:r>
        <w:rPr>
          <w:rFonts w:ascii="Palatino Linotype" w:hAnsi="Palatino Linotype" w:cs="Tahoma"/>
          <w:bCs/>
        </w:rPr>
        <w:t>ob</w:t>
      </w:r>
      <w:r w:rsidRPr="00C31E5F">
        <w:rPr>
          <w:rFonts w:ascii="Palatino Linotype" w:hAnsi="Palatino Linotype" w:cs="Tahoma"/>
          <w:bCs/>
        </w:rPr>
        <w:t>ligación de proporcionar información no comprende el procesamiento</w:t>
      </w:r>
      <w:r>
        <w:rPr>
          <w:rFonts w:ascii="Palatino Linotype" w:hAnsi="Palatino Linotype" w:cs="Tahoma"/>
          <w:bCs/>
        </w:rPr>
        <w:t xml:space="preserve"> </w:t>
      </w:r>
      <w:r w:rsidRPr="00C31E5F">
        <w:rPr>
          <w:rFonts w:ascii="Palatino Linotype" w:hAnsi="Palatino Linotype" w:cs="Tahoma"/>
          <w:bCs/>
        </w:rPr>
        <w:t xml:space="preserve">de la misma, ni el </w:t>
      </w:r>
      <w:r>
        <w:rPr>
          <w:rFonts w:ascii="Palatino Linotype" w:hAnsi="Palatino Linotype" w:cs="Tahoma"/>
          <w:bCs/>
        </w:rPr>
        <w:t>presentarla</w:t>
      </w:r>
      <w:r w:rsidRPr="00C31E5F">
        <w:rPr>
          <w:rFonts w:ascii="Palatino Linotype" w:hAnsi="Palatino Linotype" w:cs="Tahoma"/>
          <w:bCs/>
        </w:rPr>
        <w:t xml:space="preserve"> conforme al interés del solicitante; no estarán obligados a generarla,</w:t>
      </w:r>
      <w:r>
        <w:rPr>
          <w:rFonts w:ascii="Palatino Linotype" w:hAnsi="Palatino Linotype" w:cs="Tahoma"/>
          <w:bCs/>
        </w:rPr>
        <w:t xml:space="preserve"> </w:t>
      </w:r>
      <w:r w:rsidRPr="00C31E5F">
        <w:rPr>
          <w:rFonts w:ascii="Palatino Linotype" w:hAnsi="Palatino Linotype" w:cs="Tahoma"/>
          <w:bCs/>
        </w:rPr>
        <w:t>resumirla, efectuar cálculos o practicar investigaciones, así</w:t>
      </w:r>
      <w:r>
        <w:rPr>
          <w:rFonts w:ascii="Palatino Linotype" w:hAnsi="Palatino Linotype" w:cs="Tahoma"/>
          <w:bCs/>
        </w:rPr>
        <w:t xml:space="preserve"> </w:t>
      </w:r>
      <w:r w:rsidRPr="00C31E5F">
        <w:rPr>
          <w:rFonts w:ascii="Palatino Linotype" w:hAnsi="Palatino Linotype" w:cs="Tahoma"/>
          <w:bCs/>
        </w:rPr>
        <w:t>como lo resuelto en los criterios 13/17 y</w:t>
      </w:r>
      <w:r>
        <w:rPr>
          <w:rFonts w:ascii="Palatino Linotype" w:hAnsi="Palatino Linotype" w:cs="Tahoma"/>
          <w:bCs/>
        </w:rPr>
        <w:t xml:space="preserve"> </w:t>
      </w:r>
      <w:r w:rsidRPr="00C31E5F">
        <w:rPr>
          <w:rFonts w:ascii="Palatino Linotype" w:hAnsi="Palatino Linotype" w:cs="Tahoma"/>
          <w:bCs/>
        </w:rPr>
        <w:t>16/17 antes citados.</w:t>
      </w:r>
    </w:p>
    <w:p w:rsidR="000A45D9" w:rsidRDefault="000A45D9" w:rsidP="000A45D9">
      <w:pPr>
        <w:spacing w:line="360" w:lineRule="auto"/>
        <w:ind w:left="567" w:right="567"/>
        <w:jc w:val="both"/>
        <w:rPr>
          <w:rFonts w:ascii="Palatino Linotype" w:hAnsi="Palatino Linotype" w:cs="Tahoma"/>
          <w:bCs/>
        </w:rPr>
      </w:pPr>
      <w:r w:rsidRPr="00C31E5F">
        <w:rPr>
          <w:rFonts w:ascii="Palatino Linotype" w:hAnsi="Palatino Linotype" w:cs="Tahoma"/>
          <w:bCs/>
        </w:rPr>
        <w:t>Además, que no es función de la Unidad de Transparencia de acuerdo al ar1ículo 53 de la Ley de</w:t>
      </w:r>
      <w:r>
        <w:rPr>
          <w:rFonts w:ascii="Palatino Linotype" w:hAnsi="Palatino Linotype" w:cs="Tahoma"/>
          <w:bCs/>
        </w:rPr>
        <w:t xml:space="preserve"> </w:t>
      </w:r>
      <w:r w:rsidRPr="00C31E5F">
        <w:rPr>
          <w:rFonts w:ascii="Palatino Linotype" w:hAnsi="Palatino Linotype" w:cs="Tahoma"/>
          <w:bCs/>
        </w:rPr>
        <w:t xml:space="preserve">Transparencia, apercibir o requerir a los Servidores Públicos Habilitados a generar </w:t>
      </w:r>
      <w:r>
        <w:rPr>
          <w:rFonts w:ascii="Palatino Linotype" w:hAnsi="Palatino Linotype" w:cs="Tahoma"/>
          <w:bCs/>
        </w:rPr>
        <w:t>I</w:t>
      </w:r>
      <w:r w:rsidRPr="00C31E5F">
        <w:rPr>
          <w:rFonts w:ascii="Palatino Linotype" w:hAnsi="Palatino Linotype" w:cs="Tahoma"/>
          <w:bCs/>
        </w:rPr>
        <w:t>nformación o</w:t>
      </w:r>
      <w:r>
        <w:rPr>
          <w:rFonts w:ascii="Palatino Linotype" w:hAnsi="Palatino Linotype" w:cs="Tahoma"/>
          <w:bCs/>
        </w:rPr>
        <w:t xml:space="preserve"> </w:t>
      </w:r>
      <w:r w:rsidRPr="00C31E5F">
        <w:rPr>
          <w:rFonts w:ascii="Palatino Linotype" w:hAnsi="Palatino Linotype" w:cs="Tahoma"/>
          <w:bCs/>
        </w:rPr>
        <w:t>practicar investigaciones para contestar una solicitud, lo cual es a todas luces contrario a la Ley de</w:t>
      </w:r>
      <w:r>
        <w:rPr>
          <w:rFonts w:ascii="Palatino Linotype" w:hAnsi="Palatino Linotype" w:cs="Tahoma"/>
          <w:bCs/>
        </w:rPr>
        <w:t xml:space="preserve"> </w:t>
      </w:r>
      <w:r w:rsidRPr="00C31E5F">
        <w:rPr>
          <w:rFonts w:ascii="Palatino Linotype" w:hAnsi="Palatino Linotype" w:cs="Tahoma"/>
          <w:bCs/>
        </w:rPr>
        <w:t>Transparencia, ya que implicaría generar documentos "ad hoc" (para un fin determinado), cuando</w:t>
      </w:r>
      <w:r>
        <w:rPr>
          <w:rFonts w:ascii="Palatino Linotype" w:hAnsi="Palatino Linotype" w:cs="Tahoma"/>
          <w:bCs/>
        </w:rPr>
        <w:t xml:space="preserve"> </w:t>
      </w:r>
      <w:r w:rsidRPr="00C31E5F">
        <w:rPr>
          <w:rFonts w:ascii="Palatino Linotype" w:hAnsi="Palatino Linotype" w:cs="Tahoma"/>
          <w:bCs/>
        </w:rPr>
        <w:t>no existe la obligación ni de esta Unidad de Transparencia ni del Servidor Público Habilitado.</w:t>
      </w:r>
    </w:p>
    <w:p w:rsidR="00F91CC8" w:rsidRPr="00C31E5F" w:rsidRDefault="00F91CC8" w:rsidP="000A45D9">
      <w:pPr>
        <w:spacing w:line="360" w:lineRule="auto"/>
        <w:ind w:left="567" w:right="567"/>
        <w:jc w:val="both"/>
        <w:rPr>
          <w:rFonts w:ascii="Palatino Linotype" w:hAnsi="Palatino Linotype" w:cs="Tahoma"/>
          <w:bCs/>
        </w:rPr>
      </w:pPr>
    </w:p>
    <w:p w:rsidR="000A45D9" w:rsidRPr="00C31E5F" w:rsidRDefault="000A45D9" w:rsidP="000A45D9">
      <w:pPr>
        <w:spacing w:line="360" w:lineRule="auto"/>
        <w:ind w:left="567" w:right="567"/>
        <w:jc w:val="both"/>
        <w:rPr>
          <w:rFonts w:ascii="Palatino Linotype" w:hAnsi="Palatino Linotype" w:cs="Tahoma"/>
          <w:bCs/>
        </w:rPr>
      </w:pPr>
      <w:r w:rsidRPr="00C31E5F">
        <w:rPr>
          <w:rFonts w:ascii="Palatino Linotype" w:hAnsi="Palatino Linotype" w:cs="Tahoma"/>
          <w:bCs/>
        </w:rPr>
        <w:t xml:space="preserve">Finalmente, por lo que respecta a </w:t>
      </w:r>
      <w:r w:rsidRPr="00C31E5F">
        <w:rPr>
          <w:rFonts w:ascii="Palatino Linotype" w:hAnsi="Palatino Linotype" w:cs="Tahoma"/>
          <w:bCs/>
          <w:i/>
        </w:rPr>
        <w:t>"...Se indiquen en cuanto tiempo deberán acreditarse los recursos financieros EN LA CUENTA INDIVIDUAL elegida por el Servidor Público del denominado "Monto de la Acreditación" en el supuesto que el servidor público acepte esta opción..." (SIC)</w:t>
      </w:r>
    </w:p>
    <w:p w:rsidR="000A45D9" w:rsidRDefault="000A45D9" w:rsidP="000A45D9">
      <w:pPr>
        <w:spacing w:line="360" w:lineRule="auto"/>
        <w:ind w:left="567" w:right="567"/>
        <w:jc w:val="both"/>
        <w:rPr>
          <w:rFonts w:ascii="Palatino Linotype" w:hAnsi="Palatino Linotype" w:cs="Tahoma"/>
          <w:bCs/>
        </w:rPr>
      </w:pPr>
      <w:r w:rsidRPr="00C31E5F">
        <w:rPr>
          <w:rFonts w:ascii="Palatino Linotype" w:hAnsi="Palatino Linotype" w:cs="Tahoma"/>
          <w:bCs/>
        </w:rPr>
        <w:t>Se le informa que no existe un tiempo establecido en el que deberán acreditarse los recursos</w:t>
      </w:r>
      <w:r>
        <w:rPr>
          <w:rFonts w:ascii="Palatino Linotype" w:hAnsi="Palatino Linotype" w:cs="Tahoma"/>
          <w:bCs/>
        </w:rPr>
        <w:t xml:space="preserve"> </w:t>
      </w:r>
      <w:r w:rsidRPr="00C31E5F">
        <w:rPr>
          <w:rFonts w:ascii="Palatino Linotype" w:hAnsi="Palatino Linotype" w:cs="Tahoma"/>
          <w:bCs/>
        </w:rPr>
        <w:t xml:space="preserve">financieros en la Cuenta </w:t>
      </w:r>
      <w:r>
        <w:rPr>
          <w:rFonts w:ascii="Palatino Linotype" w:hAnsi="Palatino Linotype" w:cs="Tahoma"/>
          <w:bCs/>
        </w:rPr>
        <w:t>I</w:t>
      </w:r>
      <w:r w:rsidRPr="00C31E5F">
        <w:rPr>
          <w:rFonts w:ascii="Palatino Linotype" w:hAnsi="Palatino Linotype" w:cs="Tahoma"/>
          <w:bCs/>
        </w:rPr>
        <w:t>ndividual elegida por el servidor público del denominado "Monto de la</w:t>
      </w:r>
      <w:r>
        <w:rPr>
          <w:rFonts w:ascii="Palatino Linotype" w:hAnsi="Palatino Linotype" w:cs="Tahoma"/>
          <w:bCs/>
        </w:rPr>
        <w:t xml:space="preserve"> </w:t>
      </w:r>
      <w:r w:rsidRPr="00C31E5F">
        <w:rPr>
          <w:rFonts w:ascii="Palatino Linotype" w:hAnsi="Palatino Linotype" w:cs="Tahoma"/>
          <w:bCs/>
        </w:rPr>
        <w:t>Acreditación", en el supuesto que el servidor público acepte esta opción, lo cual se encuentra</w:t>
      </w:r>
      <w:r>
        <w:rPr>
          <w:rFonts w:ascii="Palatino Linotype" w:hAnsi="Palatino Linotype" w:cs="Tahoma"/>
          <w:bCs/>
        </w:rPr>
        <w:t xml:space="preserve"> </w:t>
      </w:r>
      <w:r w:rsidRPr="00C31E5F">
        <w:rPr>
          <w:rFonts w:ascii="Palatino Linotype" w:hAnsi="Palatino Linotype" w:cs="Tahoma"/>
          <w:bCs/>
        </w:rPr>
        <w:t>estrechamente relacionado con lo dispuesto en el artículo 42 de la Ley de Seguridad Social para los</w:t>
      </w:r>
      <w:r>
        <w:rPr>
          <w:rFonts w:ascii="Palatino Linotype" w:hAnsi="Palatino Linotype" w:cs="Tahoma"/>
          <w:bCs/>
        </w:rPr>
        <w:t xml:space="preserve"> </w:t>
      </w:r>
      <w:r w:rsidRPr="00C31E5F">
        <w:rPr>
          <w:rFonts w:ascii="Palatino Linotype" w:hAnsi="Palatino Linotype" w:cs="Tahoma"/>
          <w:bCs/>
        </w:rPr>
        <w:t>Servidores Públicos del Estado de México y Municipios, específicamente para otorgar la pensión</w:t>
      </w:r>
      <w:r>
        <w:rPr>
          <w:rFonts w:ascii="Palatino Linotype" w:hAnsi="Palatino Linotype" w:cs="Tahoma"/>
          <w:bCs/>
        </w:rPr>
        <w:t xml:space="preserve"> </w:t>
      </w:r>
      <w:r w:rsidRPr="00C31E5F">
        <w:rPr>
          <w:rFonts w:ascii="Palatino Linotype" w:hAnsi="Palatino Linotype" w:cs="Tahoma"/>
          <w:bCs/>
        </w:rPr>
        <w:t>que en derecho corresponda con los recursos que integran su cuenta individual al momento en que</w:t>
      </w:r>
      <w:r>
        <w:rPr>
          <w:rFonts w:ascii="Palatino Linotype" w:hAnsi="Palatino Linotype" w:cs="Tahoma"/>
          <w:bCs/>
        </w:rPr>
        <w:t xml:space="preserve"> </w:t>
      </w:r>
      <w:r w:rsidRPr="00C31E5F">
        <w:rPr>
          <w:rFonts w:ascii="Palatino Linotype" w:hAnsi="Palatino Linotype" w:cs="Tahoma"/>
          <w:bCs/>
        </w:rPr>
        <w:t>el servidor público s</w:t>
      </w:r>
      <w:r w:rsidR="00FE3EDA">
        <w:rPr>
          <w:rFonts w:ascii="Palatino Linotype" w:hAnsi="Palatino Linotype" w:cs="Tahoma"/>
          <w:bCs/>
        </w:rPr>
        <w:t>e encuentre en el supuesto legal</w:t>
      </w:r>
      <w:r w:rsidRPr="00C31E5F">
        <w:rPr>
          <w:rFonts w:ascii="Palatino Linotype" w:hAnsi="Palatino Linotype" w:cs="Tahoma"/>
          <w:bCs/>
        </w:rPr>
        <w:t xml:space="preserve"> y satisfaga los requisitos correspondientes.</w:t>
      </w:r>
      <w:r>
        <w:rPr>
          <w:rFonts w:ascii="Palatino Linotype" w:hAnsi="Palatino Linotype" w:cs="Tahoma"/>
          <w:bCs/>
        </w:rPr>
        <w:t xml:space="preserve"> </w:t>
      </w:r>
      <w:r>
        <w:rPr>
          <w:rFonts w:ascii="Palatino Linotype" w:eastAsia="Calibri" w:hAnsi="Palatino Linotype" w:cs="Tahoma"/>
          <w:bCs/>
          <w:i/>
          <w:lang w:eastAsia="en-US"/>
        </w:rPr>
        <w:t>(Sic)</w:t>
      </w:r>
    </w:p>
    <w:p w:rsidR="000A45D9" w:rsidRDefault="000A45D9" w:rsidP="000A45D9">
      <w:pPr>
        <w:spacing w:line="360" w:lineRule="auto"/>
        <w:ind w:left="567" w:right="567"/>
        <w:jc w:val="both"/>
        <w:rPr>
          <w:rFonts w:ascii="Palatino Linotype" w:hAnsi="Palatino Linotype" w:cs="Tahoma"/>
          <w:bCs/>
          <w:sz w:val="22"/>
          <w:lang w:val="es-ES"/>
        </w:rPr>
      </w:pPr>
    </w:p>
    <w:p w:rsidR="00F91CC8" w:rsidRPr="000A45D9" w:rsidRDefault="00F91CC8" w:rsidP="000A45D9">
      <w:pPr>
        <w:spacing w:line="360" w:lineRule="auto"/>
        <w:ind w:left="567" w:right="567"/>
        <w:jc w:val="both"/>
        <w:rPr>
          <w:rFonts w:ascii="Palatino Linotype" w:hAnsi="Palatino Linotype" w:cs="Tahoma"/>
          <w:bCs/>
          <w:sz w:val="22"/>
          <w:lang w:val="es-ES"/>
        </w:rPr>
      </w:pPr>
    </w:p>
    <w:p w:rsidR="00806E45" w:rsidRPr="00054E79" w:rsidRDefault="00B514EC" w:rsidP="000A45D9">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lastRenderedPageBreak/>
        <w:t>III.</w:t>
      </w:r>
      <w:r w:rsidR="00806E45" w:rsidRPr="00054E79">
        <w:rPr>
          <w:rFonts w:ascii="Palatino Linotype" w:eastAsia="Calibri" w:hAnsi="Palatino Linotype" w:cs="Tahoma"/>
          <w:b/>
          <w:bCs/>
          <w:sz w:val="22"/>
          <w:szCs w:val="22"/>
          <w:lang w:val="es-ES" w:eastAsia="en-US"/>
        </w:rPr>
        <w:t xml:space="preserve"> Interposición del Recurso de Revisión.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Default="005726B1"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val="es-ES" w:eastAsia="en-US"/>
        </w:rPr>
        <w:t xml:space="preserve">Con fecha </w:t>
      </w:r>
      <w:r w:rsidR="00A63946">
        <w:rPr>
          <w:rFonts w:ascii="Palatino Linotype" w:eastAsia="Calibri" w:hAnsi="Palatino Linotype" w:cs="Tahoma"/>
          <w:bCs/>
          <w:sz w:val="22"/>
          <w:szCs w:val="22"/>
          <w:lang w:val="es-ES" w:eastAsia="en-US"/>
        </w:rPr>
        <w:t>treinta</w:t>
      </w:r>
      <w:r w:rsidR="000272E4">
        <w:rPr>
          <w:rFonts w:ascii="Palatino Linotype" w:eastAsia="Calibri" w:hAnsi="Palatino Linotype" w:cs="Tahoma"/>
          <w:bCs/>
          <w:sz w:val="22"/>
          <w:szCs w:val="22"/>
          <w:lang w:val="es-ES" w:eastAsia="en-US"/>
        </w:rPr>
        <w:t xml:space="preserve"> de octubre</w:t>
      </w:r>
      <w:r w:rsidR="00806E45" w:rsidRPr="00054E79">
        <w:rPr>
          <w:rFonts w:ascii="Palatino Linotype" w:eastAsia="Calibri" w:hAnsi="Palatino Linotype" w:cs="Tahoma"/>
          <w:bCs/>
          <w:sz w:val="22"/>
          <w:szCs w:val="22"/>
          <w:lang w:val="es-ES" w:eastAsia="en-US"/>
        </w:rPr>
        <w:t xml:space="preserve"> de dos mil dieciocho, </w:t>
      </w:r>
      <w:r w:rsidR="00806E45" w:rsidRPr="00054E79">
        <w:rPr>
          <w:rFonts w:ascii="Palatino Linotype" w:eastAsia="Calibri" w:hAnsi="Palatino Linotype" w:cs="Tahoma"/>
          <w:bCs/>
          <w:sz w:val="22"/>
          <w:szCs w:val="22"/>
          <w:lang w:eastAsia="en-US"/>
        </w:rPr>
        <w:t xml:space="preserve">mediante el </w:t>
      </w:r>
      <w:r w:rsidR="00806E45" w:rsidRPr="00054E79">
        <w:rPr>
          <w:rFonts w:ascii="Palatino Linotype" w:eastAsia="Calibri" w:hAnsi="Palatino Linotype" w:cs="Tahoma"/>
          <w:bCs/>
          <w:sz w:val="22"/>
          <w:szCs w:val="22"/>
          <w:lang w:val="es-ES" w:eastAsia="en-US"/>
        </w:rPr>
        <w:t xml:space="preserve">Sistema de Acceso a la Información Mexiquense (SAIMEX), se recibió en este </w:t>
      </w:r>
      <w:r w:rsidR="00806E45" w:rsidRPr="00054E79">
        <w:rPr>
          <w:rFonts w:ascii="Palatino Linotype" w:eastAsia="Calibri" w:hAnsi="Palatino Linotype" w:cs="Tahoma"/>
          <w:bCs/>
          <w:sz w:val="22"/>
          <w:szCs w:val="22"/>
          <w:lang w:eastAsia="en-US"/>
        </w:rPr>
        <w:t xml:space="preserve">Instituto </w:t>
      </w:r>
      <w:r w:rsidR="00806E45" w:rsidRPr="00054E79">
        <w:rPr>
          <w:rFonts w:ascii="Palatino Linotype" w:eastAsia="Calibri" w:hAnsi="Palatino Linotype" w:cs="Tahoma"/>
          <w:bCs/>
          <w:sz w:val="22"/>
          <w:szCs w:val="22"/>
          <w:lang w:val="es-ES" w:eastAsia="en-US"/>
        </w:rPr>
        <w:t xml:space="preserve">el Recurso </w:t>
      </w:r>
      <w:r w:rsidR="00DB760D">
        <w:rPr>
          <w:rFonts w:ascii="Palatino Linotype" w:eastAsia="Calibri" w:hAnsi="Palatino Linotype" w:cs="Tahoma"/>
          <w:bCs/>
          <w:sz w:val="22"/>
          <w:szCs w:val="22"/>
          <w:lang w:val="es-ES" w:eastAsia="en-US"/>
        </w:rPr>
        <w:t>de Revisión interpuesto por el</w:t>
      </w:r>
      <w:r w:rsidRPr="00054E79">
        <w:rPr>
          <w:rFonts w:ascii="Palatino Linotype" w:eastAsia="Calibri" w:hAnsi="Palatino Linotype" w:cs="Tahoma"/>
          <w:bCs/>
          <w:sz w:val="22"/>
          <w:szCs w:val="22"/>
          <w:lang w:val="es-ES" w:eastAsia="en-US"/>
        </w:rPr>
        <w:t xml:space="preserve"> </w:t>
      </w:r>
      <w:r w:rsidR="003B5E7B">
        <w:rPr>
          <w:rFonts w:ascii="Palatino Linotype" w:eastAsia="Calibri" w:hAnsi="Palatino Linotype" w:cs="Tahoma"/>
          <w:bCs/>
          <w:sz w:val="22"/>
          <w:szCs w:val="22"/>
          <w:lang w:val="es-ES" w:eastAsia="en-US"/>
        </w:rPr>
        <w:t>Particular</w:t>
      </w:r>
      <w:r w:rsidR="00806E45" w:rsidRPr="00054E79">
        <w:rPr>
          <w:rFonts w:ascii="Palatino Linotype" w:eastAsia="Calibri" w:hAnsi="Palatino Linotype" w:cs="Tahoma"/>
          <w:bCs/>
          <w:sz w:val="22"/>
          <w:szCs w:val="22"/>
          <w:lang w:val="es-ES" w:eastAsia="en-US"/>
        </w:rPr>
        <w:t xml:space="preserve">, en contra de la respuesta otorgada por </w:t>
      </w:r>
      <w:r w:rsidR="000A45D9">
        <w:rPr>
          <w:rFonts w:ascii="Palatino Linotype" w:eastAsia="Calibri" w:hAnsi="Palatino Linotype" w:cs="Tahoma"/>
          <w:bCs/>
          <w:sz w:val="22"/>
          <w:szCs w:val="22"/>
          <w:lang w:val="es-ES" w:eastAsia="en-US"/>
        </w:rPr>
        <w:t>el Sujeto Obligado</w:t>
      </w:r>
      <w:r w:rsidR="00806E45"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eastAsia="en-US"/>
        </w:rPr>
        <w:t>en los términos siguientes:</w:t>
      </w:r>
    </w:p>
    <w:p w:rsidR="00823BBC" w:rsidRPr="00054E79" w:rsidRDefault="00823BBC"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rsidR="000272E4" w:rsidRDefault="000A45D9" w:rsidP="00D9652C">
      <w:pPr>
        <w:spacing w:line="360" w:lineRule="auto"/>
        <w:ind w:left="567" w:right="567"/>
        <w:jc w:val="both"/>
        <w:rPr>
          <w:rFonts w:ascii="Palatino Linotype" w:eastAsia="Calibri" w:hAnsi="Palatino Linotype" w:cs="Tahoma"/>
          <w:bCs/>
          <w:lang w:eastAsia="en-US"/>
        </w:rPr>
      </w:pPr>
      <w:r w:rsidRPr="000A45D9">
        <w:rPr>
          <w:rFonts w:ascii="Palatino Linotype" w:eastAsia="Calibri" w:hAnsi="Palatino Linotype" w:cs="Tahoma"/>
          <w:bCs/>
          <w:lang w:eastAsia="en-US"/>
        </w:rPr>
        <w:t>La respuesta evasiva del ISSEMYM en su oficio presentado 203F 80000-UT- 1236/201</w:t>
      </w:r>
      <w:r>
        <w:rPr>
          <w:rFonts w:ascii="Palatino Linotype" w:eastAsia="Calibri" w:hAnsi="Palatino Linotype" w:cs="Tahoma"/>
          <w:bCs/>
          <w:lang w:eastAsia="en-US"/>
        </w:rPr>
        <w:t>8</w:t>
      </w:r>
    </w:p>
    <w:p w:rsidR="004B22D5" w:rsidRDefault="004B22D5" w:rsidP="00D9652C">
      <w:pPr>
        <w:spacing w:line="360" w:lineRule="auto"/>
        <w:ind w:left="567" w:right="567"/>
        <w:jc w:val="both"/>
        <w:rPr>
          <w:rFonts w:ascii="Palatino Linotype" w:eastAsia="Calibri" w:hAnsi="Palatino Linotype" w:cs="Tahoma"/>
          <w:bCs/>
          <w:lang w:eastAsia="en-US"/>
        </w:rPr>
      </w:pPr>
    </w:p>
    <w:p w:rsidR="00806E45" w:rsidRPr="00054E79" w:rsidRDefault="00806E45" w:rsidP="00D9652C">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RAZONES O MOTIVOS DE LA INCONFORMIDAD</w:t>
      </w:r>
    </w:p>
    <w:p w:rsidR="003B5E7B" w:rsidRPr="000A45D9" w:rsidRDefault="000A45D9" w:rsidP="00D9652C">
      <w:pPr>
        <w:spacing w:line="360" w:lineRule="auto"/>
        <w:ind w:left="567" w:right="567"/>
        <w:jc w:val="both"/>
        <w:rPr>
          <w:rFonts w:ascii="Palatino Linotype" w:eastAsia="Calibri" w:hAnsi="Palatino Linotype" w:cs="Tahoma"/>
          <w:bCs/>
          <w:i/>
          <w:lang w:eastAsia="en-US"/>
        </w:rPr>
      </w:pPr>
      <w:r w:rsidRPr="000A45D9">
        <w:rPr>
          <w:rFonts w:ascii="Palatino Linotype" w:eastAsia="Calibri" w:hAnsi="Palatino Linotype" w:cs="Tahoma"/>
          <w:bCs/>
          <w:lang w:eastAsia="en-US"/>
        </w:rPr>
        <w:t xml:space="preserve">Se requirió información que obra en las oficinas del ISSEMyM, REFERENTE AL NUEVO ESQUEMA DE PRESTACIONES que se presentan en la Ley que deberá regir a dicho Instituto a partir de enero de 2019, Se mencionan que la información no la generan como es solicitada, es importante señalar que los solicitantes desconocemos como se denominan los documentos generados por las instituciones públicas y que elementos contienen a detallen y exactamente como deben ser solicitados, pero es evidente que lo solicitado en mi petición </w:t>
      </w:r>
      <w:proofErr w:type="spellStart"/>
      <w:r w:rsidRPr="000A45D9">
        <w:rPr>
          <w:rFonts w:ascii="Palatino Linotype" w:eastAsia="Calibri" w:hAnsi="Palatino Linotype" w:cs="Tahoma"/>
          <w:bCs/>
          <w:lang w:eastAsia="en-US"/>
        </w:rPr>
        <w:t>esta</w:t>
      </w:r>
      <w:proofErr w:type="spellEnd"/>
      <w:r w:rsidRPr="000A45D9">
        <w:rPr>
          <w:rFonts w:ascii="Palatino Linotype" w:eastAsia="Calibri" w:hAnsi="Palatino Linotype" w:cs="Tahoma"/>
          <w:bCs/>
          <w:lang w:eastAsia="en-US"/>
        </w:rPr>
        <w:t xml:space="preserve"> establecido como obligaciones en la nueva Ley de Seguridad Social publicada en el periódico oficial Gaceta del Gobierno el 10 de agosto de 2018 y que entrará según en vigor el primero de enero próximo. Es evidente la falta de atención a la solicitud considerando que con un criterio pretenden evadir y atender lo requerido, obstaculizando el derecho como servidores públicos y ciudadanos a conocer lo que representa y las consecuencias de la nueva Ley, SI ISSEMyM DESCONOCE SUS PROPIOS PROCEDIMIENTOS A REALIZAR ES INCREÍBLE QUE PRETENDAN IMPONER UNA NUEVA LEY EN LOS PRÓXIMOS DÍAS Y OBLIGAR A SERVIDORES PÚBLICOS A ACATARLO SIN INFORMAR CORRECTAMENTE DE LAS ACCIONES Y ACTIVIDADES A REALIZAR</w:t>
      </w:r>
      <w:r>
        <w:rPr>
          <w:rFonts w:ascii="Palatino Linotype" w:eastAsia="Calibri" w:hAnsi="Palatino Linotype" w:cs="Tahoma"/>
          <w:bCs/>
          <w:lang w:eastAsia="en-US"/>
        </w:rPr>
        <w:t>.</w:t>
      </w:r>
      <w:r w:rsidR="00A63946">
        <w:rPr>
          <w:rFonts w:ascii="Palatino Linotype" w:eastAsia="Calibri" w:hAnsi="Palatino Linotype" w:cs="Tahoma"/>
          <w:bCs/>
          <w:lang w:eastAsia="en-US"/>
        </w:rPr>
        <w:t xml:space="preserve"> </w:t>
      </w:r>
      <w:r>
        <w:rPr>
          <w:rFonts w:ascii="Palatino Linotype" w:eastAsia="Calibri" w:hAnsi="Palatino Linotype" w:cs="Tahoma"/>
          <w:bCs/>
          <w:i/>
          <w:lang w:eastAsia="en-US"/>
        </w:rPr>
        <w:t>(Sic)</w:t>
      </w:r>
    </w:p>
    <w:p w:rsidR="00806E45" w:rsidRDefault="000A45D9"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lastRenderedPageBreak/>
        <w:t>I</w:t>
      </w:r>
      <w:r w:rsidR="00806E45" w:rsidRPr="00054E79">
        <w:rPr>
          <w:rFonts w:ascii="Palatino Linotype" w:eastAsia="Calibri" w:hAnsi="Palatino Linotype" w:cs="Tahoma"/>
          <w:b/>
          <w:bCs/>
          <w:sz w:val="22"/>
          <w:szCs w:val="22"/>
          <w:lang w:val="es-ES" w:eastAsia="en-US"/>
        </w:rPr>
        <w:t>V. Trámite del Recurso de Revisión ante el Instituto.</w:t>
      </w:r>
    </w:p>
    <w:p w:rsidR="00823BBC" w:rsidRPr="00054E79" w:rsidRDefault="00823BBC" w:rsidP="00D9652C">
      <w:pPr>
        <w:spacing w:line="360" w:lineRule="auto"/>
        <w:jc w:val="both"/>
        <w:rPr>
          <w:rFonts w:ascii="Palatino Linotype" w:eastAsia="Calibri" w:hAnsi="Palatino Linotype" w:cs="Tahoma"/>
          <w:b/>
          <w:bCs/>
          <w:sz w:val="22"/>
          <w:szCs w:val="22"/>
          <w:lang w:val="es-ES" w:eastAsia="en-US"/>
        </w:rPr>
      </w:pPr>
    </w:p>
    <w:p w:rsidR="000A45D9" w:rsidRPr="00054E79" w:rsidRDefault="000A45D9" w:rsidP="000A45D9">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 xml:space="preserve">a) Turno del Recurso de Revisión. </w:t>
      </w:r>
      <w:r w:rsidRPr="00054E79">
        <w:rPr>
          <w:rFonts w:ascii="Palatino Linotype" w:eastAsia="Calibri" w:hAnsi="Palatino Linotype" w:cs="Tahoma"/>
          <w:bCs/>
          <w:sz w:val="22"/>
          <w:szCs w:val="22"/>
          <w:lang w:eastAsia="en-US"/>
        </w:rPr>
        <w:t>Con</w:t>
      </w:r>
      <w:r>
        <w:rPr>
          <w:rFonts w:ascii="Palatino Linotype" w:eastAsia="Calibri" w:hAnsi="Palatino Linotype" w:cs="Tahoma"/>
          <w:bCs/>
          <w:sz w:val="22"/>
          <w:szCs w:val="22"/>
          <w:lang w:eastAsia="en-US"/>
        </w:rPr>
        <w:t xml:space="preserve"> fecha</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cuatro de diciembre </w:t>
      </w:r>
      <w:r w:rsidRPr="00054E79">
        <w:rPr>
          <w:rFonts w:ascii="Palatino Linotype" w:eastAsia="Calibri" w:hAnsi="Palatino Linotype" w:cs="Tahoma"/>
          <w:bCs/>
          <w:sz w:val="22"/>
          <w:szCs w:val="22"/>
          <w:lang w:eastAsia="en-US"/>
        </w:rPr>
        <w:t>de dos mil dieciocho, el S</w:t>
      </w:r>
      <w:r>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asignó el número de expediente </w:t>
      </w:r>
      <w:r>
        <w:rPr>
          <w:rFonts w:ascii="Palatino Linotype" w:eastAsia="Calibri" w:hAnsi="Palatino Linotype" w:cs="Tahoma"/>
          <w:b/>
          <w:bCs/>
          <w:sz w:val="22"/>
          <w:szCs w:val="22"/>
          <w:lang w:eastAsia="en-US"/>
        </w:rPr>
        <w:t>04591</w:t>
      </w:r>
      <w:r w:rsidRPr="00054E79">
        <w:rPr>
          <w:rFonts w:ascii="Palatino Linotype" w:eastAsia="Calibri" w:hAnsi="Palatino Linotype" w:cs="Tahoma"/>
          <w:b/>
          <w:bCs/>
          <w:sz w:val="22"/>
          <w:szCs w:val="22"/>
          <w:lang w:eastAsia="en-US"/>
        </w:rPr>
        <w:t>/INFOEM/IP/RR/2018</w:t>
      </w:r>
      <w:r>
        <w:rPr>
          <w:rFonts w:ascii="Palatino Linotype" w:eastAsia="Calibri" w:hAnsi="Palatino Linotype" w:cs="Tahoma"/>
          <w:b/>
          <w:bCs/>
          <w:sz w:val="22"/>
          <w:szCs w:val="22"/>
          <w:lang w:eastAsia="en-US"/>
        </w:rPr>
        <w:t>,</w:t>
      </w:r>
      <w:r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rsidR="000A45D9" w:rsidRPr="00054E79" w:rsidRDefault="000A45D9" w:rsidP="000A45D9">
      <w:pPr>
        <w:spacing w:line="360" w:lineRule="auto"/>
        <w:jc w:val="both"/>
        <w:rPr>
          <w:rFonts w:ascii="Palatino Linotype" w:eastAsia="Calibri" w:hAnsi="Palatino Linotype" w:cs="Tahoma"/>
          <w:b/>
          <w:bCs/>
          <w:sz w:val="22"/>
          <w:szCs w:val="22"/>
          <w:lang w:eastAsia="en-US"/>
        </w:rPr>
      </w:pPr>
    </w:p>
    <w:p w:rsidR="000A45D9" w:rsidRDefault="000A45D9" w:rsidP="000A45D9">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Pr>
          <w:rFonts w:ascii="Palatino Linotype" w:eastAsia="Calibri" w:hAnsi="Palatino Linotype" w:cs="Tahoma"/>
          <w:bCs/>
          <w:sz w:val="22"/>
          <w:szCs w:val="22"/>
          <w:lang w:val="es-ES_tradnl" w:eastAsia="en-US"/>
        </w:rPr>
        <w:t xml:space="preserve">diez de diciembre </w:t>
      </w:r>
      <w:r w:rsidRPr="00054E79">
        <w:rPr>
          <w:rFonts w:ascii="Palatino Linotype" w:eastAsia="Calibri" w:hAnsi="Palatino Linotype" w:cs="Tahoma"/>
          <w:bCs/>
          <w:sz w:val="22"/>
          <w:szCs w:val="22"/>
          <w:lang w:val="es-ES_tradnl" w:eastAsia="en-US"/>
        </w:rPr>
        <w:t xml:space="preserve">de dos mil dieciocho,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del Recurso de Revisión</w:t>
      </w:r>
      <w:r w:rsidRPr="00054E79">
        <w:rPr>
          <w:rFonts w:ascii="Palatino Linotype" w:eastAsia="Calibri" w:hAnsi="Palatino Linotype" w:cs="Tahoma"/>
          <w:bCs/>
          <w:sz w:val="22"/>
          <w:szCs w:val="22"/>
          <w:lang w:eastAsia="en-US"/>
        </w:rPr>
        <w:t xml:space="preserve"> interpuesto por </w:t>
      </w:r>
      <w:r>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w:t>
      </w:r>
      <w:r w:rsidRPr="00054E79">
        <w:rPr>
          <w:rFonts w:ascii="Palatino Linotype" w:eastAsia="Calibri" w:hAnsi="Palatino Linotype" w:cs="Tahoma"/>
          <w:bCs/>
          <w:sz w:val="22"/>
          <w:szCs w:val="22"/>
          <w:lang w:eastAsia="en-US"/>
        </w:rPr>
        <w:t xml:space="preserve">ecurrente en contra de la </w:t>
      </w:r>
      <w:r>
        <w:rPr>
          <w:rFonts w:ascii="Palatino Linotype" w:eastAsia="Calibri" w:hAnsi="Palatino Linotype" w:cs="Tahoma"/>
          <w:bCs/>
          <w:sz w:val="22"/>
          <w:szCs w:val="22"/>
          <w:lang w:eastAsia="en-US"/>
        </w:rPr>
        <w:t xml:space="preserve">respuesta del Sujeto Obligado </w:t>
      </w:r>
      <w:r w:rsidRPr="000A45D9">
        <w:rPr>
          <w:rFonts w:ascii="Palatino Linotype" w:eastAsia="Calibri" w:hAnsi="Palatino Linotype" w:cs="Tahoma"/>
          <w:b/>
          <w:bCs/>
          <w:sz w:val="22"/>
          <w:szCs w:val="22"/>
          <w:lang w:eastAsia="en-US"/>
        </w:rPr>
        <w:t>Instituto de Seguridad Social del Estado de México y Municipios</w:t>
      </w:r>
      <w:r>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en términos del artículo 185, fracciones I y II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 acto</w:t>
      </w:r>
      <w:r w:rsidRPr="00AC5D2C">
        <w:rPr>
          <w:rFonts w:ascii="Palatino Linotype" w:hAnsi="Palatino Linotype" w:cs="Tahoma"/>
          <w:bCs/>
          <w:sz w:val="22"/>
          <w:szCs w:val="22"/>
          <w:lang w:val="es-ES_tradnl"/>
        </w:rPr>
        <w:t xml:space="preserve"> fue notif</w:t>
      </w:r>
      <w:r>
        <w:rPr>
          <w:rFonts w:ascii="Palatino Linotype" w:hAnsi="Palatino Linotype" w:cs="Tahoma"/>
          <w:bCs/>
          <w:sz w:val="22"/>
          <w:szCs w:val="22"/>
          <w:lang w:val="es-ES_tradnl"/>
        </w:rPr>
        <w:t>icado a las partes en la misma fecha</w:t>
      </w:r>
      <w:r w:rsidRPr="00AC5D2C">
        <w:rPr>
          <w:rFonts w:ascii="Palatino Linotype" w:hAnsi="Palatino Linotype" w:cs="Tahoma"/>
          <w:bCs/>
          <w:sz w:val="22"/>
          <w:szCs w:val="22"/>
          <w:lang w:val="es-ES_tradnl"/>
        </w:rPr>
        <w:t xml:space="preserve"> a través del </w:t>
      </w:r>
      <w:r w:rsidRPr="00054E79">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Pr>
          <w:rFonts w:ascii="Palatino Linotype" w:eastAsia="Calibri" w:hAnsi="Palatino Linotype" w:cs="Tahoma"/>
          <w:bCs/>
          <w:sz w:val="22"/>
          <w:szCs w:val="22"/>
          <w:lang w:eastAsia="en-US"/>
        </w:rPr>
        <w:t>),</w:t>
      </w:r>
      <w:r w:rsidRPr="00AC5D2C">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rsidR="000A45D9" w:rsidRDefault="000A45D9" w:rsidP="000A45D9">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Pr>
          <w:rFonts w:ascii="Palatino Linotype" w:eastAsia="Calibri" w:hAnsi="Palatino Linotype" w:cs="Tahoma"/>
          <w:bCs/>
          <w:sz w:val="22"/>
          <w:szCs w:val="22"/>
          <w:lang w:val="es-ES_tradnl" w:eastAsia="en-US"/>
        </w:rPr>
        <w:t xml:space="preserve">diecisiete de diciembre </w:t>
      </w:r>
      <w:r w:rsidRPr="00054E79">
        <w:rPr>
          <w:rFonts w:ascii="Palatino Linotype" w:eastAsia="Calibri" w:hAnsi="Palatino Linotype" w:cs="Tahoma"/>
          <w:bCs/>
          <w:sz w:val="22"/>
          <w:szCs w:val="22"/>
          <w:lang w:val="es-ES_tradnl" w:eastAsia="en-US"/>
        </w:rPr>
        <w:t>de dos mil dieciocho, a través del</w:t>
      </w:r>
      <w:r>
        <w:rPr>
          <w:rFonts w:ascii="Palatino Linotype" w:eastAsia="Calibri" w:hAnsi="Palatino Linotype" w:cs="Tahoma"/>
          <w:bCs/>
          <w:sz w:val="22"/>
          <w:szCs w:val="22"/>
          <w:lang w:val="es-ES_tradnl" w:eastAsia="en-US"/>
        </w:rPr>
        <w:t xml:space="preserve"> </w:t>
      </w:r>
      <w:r w:rsidRPr="00054E79">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Pr>
          <w:rFonts w:ascii="Palatino Linotype" w:eastAsia="Calibri" w:hAnsi="Palatino Linotype" w:cs="Tahoma"/>
          <w:bCs/>
          <w:sz w:val="22"/>
          <w:szCs w:val="22"/>
          <w:lang w:eastAsia="en-US"/>
        </w:rPr>
        <w:t>)</w:t>
      </w:r>
      <w:r>
        <w:rPr>
          <w:rFonts w:ascii="Palatino Linotype" w:eastAsia="Calibri" w:hAnsi="Palatino Linotype" w:cs="Tahoma"/>
          <w:bCs/>
          <w:sz w:val="22"/>
          <w:szCs w:val="22"/>
          <w:lang w:val="es-ES_tradnl" w:eastAsia="en-US"/>
        </w:rPr>
        <w:t>, se recibieron</w:t>
      </w:r>
      <w:r w:rsidRPr="00054E79">
        <w:rPr>
          <w:rFonts w:ascii="Palatino Linotype" w:eastAsia="Calibri" w:hAnsi="Palatino Linotype" w:cs="Tahoma"/>
          <w:bCs/>
          <w:sz w:val="22"/>
          <w:szCs w:val="22"/>
          <w:lang w:val="es-ES_tradnl" w:eastAsia="en-US"/>
        </w:rPr>
        <w:t xml:space="preserve"> en este Instituto </w:t>
      </w:r>
      <w:r>
        <w:rPr>
          <w:rFonts w:ascii="Palatino Linotype" w:eastAsia="Calibri" w:hAnsi="Palatino Linotype" w:cs="Tahoma"/>
          <w:bCs/>
          <w:sz w:val="22"/>
          <w:szCs w:val="22"/>
          <w:lang w:val="es-ES_tradnl" w:eastAsia="en-US"/>
        </w:rPr>
        <w:t>cuatro archivos electrónicos remitidos por el Sujeto Obligado, los cuales consisten en lo siguiente:</w:t>
      </w:r>
    </w:p>
    <w:p w:rsidR="000A45D9" w:rsidRDefault="000A45D9" w:rsidP="000A45D9">
      <w:pPr>
        <w:spacing w:line="360" w:lineRule="auto"/>
        <w:jc w:val="both"/>
        <w:rPr>
          <w:rFonts w:ascii="Palatino Linotype" w:eastAsia="Calibri" w:hAnsi="Palatino Linotype" w:cs="Tahoma"/>
          <w:bCs/>
          <w:sz w:val="22"/>
          <w:szCs w:val="22"/>
          <w:lang w:val="es-ES_tradnl" w:eastAsia="en-US"/>
        </w:rPr>
      </w:pPr>
    </w:p>
    <w:p w:rsidR="000A45D9" w:rsidRDefault="000A45D9" w:rsidP="000A45D9">
      <w:pPr>
        <w:pStyle w:val="Prrafodelista"/>
        <w:numPr>
          <w:ilvl w:val="0"/>
          <w:numId w:val="18"/>
        </w:numPr>
        <w:spacing w:line="360" w:lineRule="auto"/>
        <w:ind w:left="284" w:hanging="284"/>
        <w:contextualSpacing w:val="0"/>
        <w:jc w:val="both"/>
        <w:rPr>
          <w:rFonts w:ascii="Palatino Linotype" w:eastAsia="Calibri" w:hAnsi="Palatino Linotype" w:cs="Tahoma"/>
          <w:bCs/>
          <w:iCs/>
          <w:lang w:eastAsia="en-US"/>
        </w:rPr>
      </w:pPr>
      <w:r w:rsidRPr="00CB04C8">
        <w:rPr>
          <w:rFonts w:ascii="Palatino Linotype" w:eastAsia="Calibri" w:hAnsi="Palatino Linotype" w:cs="Tahoma"/>
          <w:b/>
          <w:bCs/>
          <w:i/>
          <w:iCs/>
          <w:lang w:eastAsia="en-US"/>
        </w:rPr>
        <w:t xml:space="preserve">INFORME </w:t>
      </w:r>
      <w:r>
        <w:rPr>
          <w:rFonts w:ascii="Palatino Linotype" w:eastAsia="Calibri" w:hAnsi="Palatino Linotype" w:cs="Tahoma"/>
          <w:b/>
          <w:bCs/>
          <w:i/>
          <w:iCs/>
          <w:lang w:eastAsia="en-US"/>
        </w:rPr>
        <w:t>JUSTIFICADO 719.IP.pdf</w:t>
      </w:r>
      <w:r w:rsidRPr="00CB04C8">
        <w:rPr>
          <w:rFonts w:ascii="Palatino Linotype" w:eastAsia="Calibri" w:hAnsi="Palatino Linotype" w:cs="Tahoma"/>
          <w:bCs/>
          <w:iCs/>
          <w:lang w:eastAsia="en-US"/>
        </w:rPr>
        <w:t xml:space="preserve">: Contiene el </w:t>
      </w:r>
      <w:r>
        <w:rPr>
          <w:rFonts w:ascii="Palatino Linotype" w:eastAsia="Calibri" w:hAnsi="Palatino Linotype" w:cs="Tahoma"/>
          <w:bCs/>
          <w:iCs/>
          <w:lang w:eastAsia="en-US"/>
        </w:rPr>
        <w:t xml:space="preserve">documento </w:t>
      </w:r>
      <w:r w:rsidRPr="00CB04C8">
        <w:rPr>
          <w:rFonts w:ascii="Palatino Linotype" w:eastAsia="Calibri" w:hAnsi="Palatino Linotype" w:cs="Tahoma"/>
          <w:bCs/>
          <w:iCs/>
          <w:lang w:eastAsia="en-US"/>
        </w:rPr>
        <w:t xml:space="preserve">número </w:t>
      </w:r>
      <w:r>
        <w:rPr>
          <w:rFonts w:ascii="Palatino Linotype" w:eastAsia="Calibri" w:hAnsi="Palatino Linotype" w:cs="Tahoma"/>
          <w:bCs/>
          <w:iCs/>
          <w:lang w:eastAsia="en-US"/>
        </w:rPr>
        <w:t>203F 80000-UT-1302</w:t>
      </w:r>
      <w:r w:rsidRPr="000A45D9">
        <w:rPr>
          <w:rFonts w:ascii="Palatino Linotype" w:eastAsia="Calibri" w:hAnsi="Palatino Linotype" w:cs="Tahoma"/>
          <w:bCs/>
          <w:iCs/>
          <w:lang w:eastAsia="en-US"/>
        </w:rPr>
        <w:t>/2018</w:t>
      </w:r>
      <w:r>
        <w:rPr>
          <w:rFonts w:ascii="Palatino Linotype" w:eastAsia="Calibri" w:hAnsi="Palatino Linotype" w:cs="Tahoma"/>
          <w:bCs/>
          <w:iCs/>
          <w:lang w:eastAsia="en-US"/>
        </w:rPr>
        <w:t>, emitido por el</w:t>
      </w:r>
      <w:r w:rsidRPr="00CB04C8">
        <w:rPr>
          <w:rFonts w:ascii="Palatino Linotype" w:eastAsia="Calibri" w:hAnsi="Palatino Linotype" w:cs="Tahoma"/>
          <w:bCs/>
          <w:iCs/>
          <w:lang w:eastAsia="en-US"/>
        </w:rPr>
        <w:t xml:space="preserve"> Titular de la Unidad de Transparencia</w:t>
      </w:r>
      <w:r>
        <w:rPr>
          <w:rFonts w:ascii="Palatino Linotype" w:eastAsia="Calibri" w:hAnsi="Palatino Linotype" w:cs="Tahoma"/>
          <w:bCs/>
          <w:iCs/>
          <w:lang w:eastAsia="en-US"/>
        </w:rPr>
        <w:t xml:space="preserve"> del </w:t>
      </w:r>
      <w:r w:rsidRPr="000A45D9">
        <w:rPr>
          <w:rFonts w:ascii="Palatino Linotype" w:eastAsia="Calibri" w:hAnsi="Palatino Linotype" w:cs="Tahoma"/>
          <w:bCs/>
          <w:iCs/>
          <w:lang w:eastAsia="en-US"/>
        </w:rPr>
        <w:t>Instituto de Seguridad Social del Estado de México y Municipios</w:t>
      </w:r>
      <w:r w:rsidRPr="00CB04C8">
        <w:rPr>
          <w:rFonts w:ascii="Palatino Linotype" w:eastAsia="Calibri" w:hAnsi="Palatino Linotype" w:cs="Tahoma"/>
          <w:bCs/>
          <w:iCs/>
          <w:lang w:eastAsia="en-US"/>
        </w:rPr>
        <w:t>, por medio del cual, de manera medular informa que:</w:t>
      </w:r>
    </w:p>
    <w:p w:rsidR="000A45D9" w:rsidRPr="000A45D9" w:rsidRDefault="000A45D9" w:rsidP="000A45D9">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lastRenderedPageBreak/>
        <w:t xml:space="preserve">… </w:t>
      </w:r>
      <w:r w:rsidRPr="000A45D9">
        <w:rPr>
          <w:rFonts w:ascii="Palatino Linotype" w:eastAsia="Calibri" w:hAnsi="Palatino Linotype" w:cs="Tahoma"/>
          <w:bCs/>
          <w:iCs/>
          <w:lang w:eastAsia="en-US"/>
        </w:rPr>
        <w:t>de acuerdo a lo comunicado por el Servidor Público</w:t>
      </w:r>
      <w:r>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Habilitado de la Coordinación de Finanzas, </w:t>
      </w:r>
      <w:r w:rsidR="008D42DE" w:rsidRPr="000A45D9">
        <w:rPr>
          <w:rFonts w:ascii="Palatino Linotype" w:eastAsia="Calibri" w:hAnsi="Palatino Linotype" w:cs="Tahoma"/>
          <w:bCs/>
          <w:iCs/>
          <w:lang w:eastAsia="en-US"/>
        </w:rPr>
        <w:t>solicito</w:t>
      </w:r>
      <w:r w:rsidRPr="000A45D9">
        <w:rPr>
          <w:rFonts w:ascii="Palatino Linotype" w:eastAsia="Calibri" w:hAnsi="Palatino Linotype" w:cs="Tahoma"/>
          <w:bCs/>
          <w:iCs/>
          <w:lang w:eastAsia="en-US"/>
        </w:rPr>
        <w:t xml:space="preserve"> a usted considerar lo siguiente:</w:t>
      </w:r>
    </w:p>
    <w:p w:rsidR="000A45D9" w:rsidRDefault="000A45D9" w:rsidP="000A45D9">
      <w:pPr>
        <w:spacing w:line="360" w:lineRule="auto"/>
        <w:ind w:left="567" w:right="567"/>
        <w:jc w:val="both"/>
        <w:rPr>
          <w:rFonts w:ascii="Palatino Linotype" w:eastAsia="Calibri" w:hAnsi="Palatino Linotype" w:cs="Tahoma"/>
          <w:bCs/>
          <w:iCs/>
          <w:lang w:eastAsia="en-US"/>
        </w:rPr>
      </w:pPr>
      <w:r w:rsidRPr="000A45D9">
        <w:rPr>
          <w:rFonts w:ascii="Palatino Linotype" w:eastAsia="Calibri" w:hAnsi="Palatino Linotype" w:cs="Tahoma"/>
          <w:bCs/>
          <w:iCs/>
          <w:lang w:eastAsia="en-US"/>
        </w:rPr>
        <w:t xml:space="preserve">Deben desestimarse de </w:t>
      </w:r>
      <w:r w:rsidR="008D42DE" w:rsidRPr="000A45D9">
        <w:rPr>
          <w:rFonts w:ascii="Palatino Linotype" w:eastAsia="Calibri" w:hAnsi="Palatino Linotype" w:cs="Tahoma"/>
          <w:bCs/>
          <w:iCs/>
          <w:lang w:eastAsia="en-US"/>
        </w:rPr>
        <w:t>plano</w:t>
      </w:r>
      <w:r w:rsidRPr="000A45D9">
        <w:rPr>
          <w:rFonts w:ascii="Palatino Linotype" w:eastAsia="Calibri" w:hAnsi="Palatino Linotype" w:cs="Tahoma"/>
          <w:bCs/>
          <w:iCs/>
          <w:lang w:eastAsia="en-US"/>
        </w:rPr>
        <w:t xml:space="preserve"> los </w:t>
      </w:r>
      <w:r w:rsidR="008D42DE" w:rsidRPr="000A45D9">
        <w:rPr>
          <w:rFonts w:ascii="Palatino Linotype" w:eastAsia="Calibri" w:hAnsi="Palatino Linotype" w:cs="Tahoma"/>
          <w:bCs/>
          <w:iCs/>
          <w:lang w:eastAsia="en-US"/>
        </w:rPr>
        <w:t>motivos</w:t>
      </w:r>
      <w:r w:rsidRPr="000A45D9">
        <w:rPr>
          <w:rFonts w:ascii="Palatino Linotype" w:eastAsia="Calibri" w:hAnsi="Palatino Linotype" w:cs="Tahoma"/>
          <w:bCs/>
          <w:iCs/>
          <w:lang w:eastAsia="en-US"/>
        </w:rPr>
        <w:t xml:space="preserve"> de </w:t>
      </w:r>
      <w:r w:rsidR="008D42DE" w:rsidRPr="000A45D9">
        <w:rPr>
          <w:rFonts w:ascii="Palatino Linotype" w:eastAsia="Calibri" w:hAnsi="Palatino Linotype" w:cs="Tahoma"/>
          <w:bCs/>
          <w:iCs/>
          <w:lang w:eastAsia="en-US"/>
        </w:rPr>
        <w:t>inconformidad</w:t>
      </w:r>
      <w:r w:rsidRPr="000A45D9">
        <w:rPr>
          <w:rFonts w:ascii="Palatino Linotype" w:eastAsia="Calibri" w:hAnsi="Palatino Linotype" w:cs="Tahoma"/>
          <w:bCs/>
          <w:iCs/>
          <w:lang w:eastAsia="en-US"/>
        </w:rPr>
        <w:t xml:space="preserve"> del recurrente, por ser </w:t>
      </w:r>
      <w:r w:rsidR="008D42DE" w:rsidRPr="000A45D9">
        <w:rPr>
          <w:rFonts w:ascii="Palatino Linotype" w:eastAsia="Calibri" w:hAnsi="Palatino Linotype" w:cs="Tahoma"/>
          <w:bCs/>
          <w:iCs/>
          <w:lang w:eastAsia="en-US"/>
        </w:rPr>
        <w:t>jurídicamente</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ineficaces para revocar o </w:t>
      </w:r>
      <w:r w:rsidR="008D42DE">
        <w:rPr>
          <w:rFonts w:ascii="Palatino Linotype" w:eastAsia="Calibri" w:hAnsi="Palatino Linotype" w:cs="Tahoma"/>
          <w:bCs/>
          <w:iCs/>
          <w:lang w:eastAsia="en-US"/>
        </w:rPr>
        <w:t>modificar la r</w:t>
      </w:r>
      <w:r w:rsidRPr="000A45D9">
        <w:rPr>
          <w:rFonts w:ascii="Palatino Linotype" w:eastAsia="Calibri" w:hAnsi="Palatino Linotype" w:cs="Tahoma"/>
          <w:bCs/>
          <w:iCs/>
          <w:lang w:eastAsia="en-US"/>
        </w:rPr>
        <w:t xml:space="preserve">espuesta del </w:t>
      </w:r>
      <w:r w:rsidR="008D42DE" w:rsidRPr="000A45D9">
        <w:rPr>
          <w:rFonts w:ascii="Palatino Linotype" w:eastAsia="Calibri" w:hAnsi="Palatino Linotype" w:cs="Tahoma"/>
          <w:bCs/>
          <w:iCs/>
          <w:lang w:eastAsia="en-US"/>
        </w:rPr>
        <w:t>sujeto</w:t>
      </w:r>
      <w:r w:rsidRPr="000A45D9">
        <w:rPr>
          <w:rFonts w:ascii="Palatino Linotype" w:eastAsia="Calibri" w:hAnsi="Palatino Linotype" w:cs="Tahoma"/>
          <w:bCs/>
          <w:iCs/>
          <w:lang w:eastAsia="en-US"/>
        </w:rPr>
        <w:t xml:space="preserve"> obligado, en </w:t>
      </w:r>
      <w:r w:rsidR="008D42DE" w:rsidRPr="000A45D9">
        <w:rPr>
          <w:rFonts w:ascii="Palatino Linotype" w:eastAsia="Calibri" w:hAnsi="Palatino Linotype" w:cs="Tahoma"/>
          <w:bCs/>
          <w:iCs/>
          <w:lang w:eastAsia="en-US"/>
        </w:rPr>
        <w:t>razón</w:t>
      </w:r>
      <w:r w:rsidRPr="000A45D9">
        <w:rPr>
          <w:rFonts w:ascii="Palatino Linotype" w:eastAsia="Calibri" w:hAnsi="Palatino Linotype" w:cs="Tahoma"/>
          <w:bCs/>
          <w:iCs/>
          <w:lang w:eastAsia="en-US"/>
        </w:rPr>
        <w:t xml:space="preserve"> de que cuando los</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particulares presenten </w:t>
      </w:r>
      <w:r w:rsidR="008D42DE" w:rsidRPr="000A45D9">
        <w:rPr>
          <w:rFonts w:ascii="Palatino Linotype" w:eastAsia="Calibri" w:hAnsi="Palatino Linotype" w:cs="Tahoma"/>
          <w:bCs/>
          <w:iCs/>
          <w:lang w:eastAsia="en-US"/>
        </w:rPr>
        <w:t>solicitudes</w:t>
      </w:r>
      <w:r w:rsidRPr="000A45D9">
        <w:rPr>
          <w:rFonts w:ascii="Palatino Linotype" w:eastAsia="Calibri" w:hAnsi="Palatino Linotype" w:cs="Tahoma"/>
          <w:bCs/>
          <w:iCs/>
          <w:lang w:eastAsia="en-US"/>
        </w:rPr>
        <w:t xml:space="preserve"> de acceso a la información sin identificar de forma precisa la</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documentación que pudiera contener </w:t>
      </w:r>
      <w:r w:rsidR="008D42DE">
        <w:rPr>
          <w:rFonts w:ascii="Palatino Linotype" w:eastAsia="Calibri" w:hAnsi="Palatino Linotype" w:cs="Tahoma"/>
          <w:bCs/>
          <w:iCs/>
          <w:lang w:eastAsia="en-US"/>
        </w:rPr>
        <w:t>l</w:t>
      </w:r>
      <w:r w:rsidRPr="000A45D9">
        <w:rPr>
          <w:rFonts w:ascii="Palatino Linotype" w:eastAsia="Calibri" w:hAnsi="Palatino Linotype" w:cs="Tahoma"/>
          <w:bCs/>
          <w:iCs/>
          <w:lang w:eastAsia="en-US"/>
        </w:rPr>
        <w:t>a información de su interés, pero la respuesta pudiera obrar</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en algún documento en poder de los sujetos obligados, éstos deben dar a dichas solicitudes una</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interpretación que les otorgue una expresión documental, de acuerdo a lo resuelto en el criterio</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16/17 del </w:t>
      </w:r>
      <w:r w:rsidR="008D42DE">
        <w:rPr>
          <w:rFonts w:ascii="Palatino Linotype" w:eastAsia="Calibri" w:hAnsi="Palatino Linotype" w:cs="Tahoma"/>
          <w:bCs/>
          <w:iCs/>
          <w:lang w:eastAsia="en-US"/>
        </w:rPr>
        <w:t>I</w:t>
      </w:r>
      <w:r w:rsidRPr="000A45D9">
        <w:rPr>
          <w:rFonts w:ascii="Palatino Linotype" w:eastAsia="Calibri" w:hAnsi="Palatino Linotype" w:cs="Tahoma"/>
          <w:bCs/>
          <w:iCs/>
          <w:lang w:eastAsia="en-US"/>
        </w:rPr>
        <w:t xml:space="preserve">nstituto Nacional de Transparencia, Acceso a la </w:t>
      </w:r>
      <w:r w:rsidR="008D42DE" w:rsidRPr="000A45D9">
        <w:rPr>
          <w:rFonts w:ascii="Palatino Linotype" w:eastAsia="Calibri" w:hAnsi="Palatino Linotype" w:cs="Tahoma"/>
          <w:bCs/>
          <w:iCs/>
          <w:lang w:eastAsia="en-US"/>
        </w:rPr>
        <w:t>Información</w:t>
      </w:r>
      <w:r w:rsidRPr="000A45D9">
        <w:rPr>
          <w:rFonts w:ascii="Palatino Linotype" w:eastAsia="Calibri" w:hAnsi="Palatino Linotype" w:cs="Tahoma"/>
          <w:bCs/>
          <w:iCs/>
          <w:lang w:eastAsia="en-US"/>
        </w:rPr>
        <w:t xml:space="preserve"> y </w:t>
      </w:r>
      <w:r w:rsidR="008D42DE" w:rsidRPr="000A45D9">
        <w:rPr>
          <w:rFonts w:ascii="Palatino Linotype" w:eastAsia="Calibri" w:hAnsi="Palatino Linotype" w:cs="Tahoma"/>
          <w:bCs/>
          <w:iCs/>
          <w:lang w:eastAsia="en-US"/>
        </w:rPr>
        <w:t>Protección</w:t>
      </w:r>
      <w:r w:rsidRPr="000A45D9">
        <w:rPr>
          <w:rFonts w:ascii="Palatino Linotype" w:eastAsia="Calibri" w:hAnsi="Palatino Linotype" w:cs="Tahoma"/>
          <w:bCs/>
          <w:iCs/>
          <w:lang w:eastAsia="en-US"/>
        </w:rPr>
        <w:t xml:space="preserve"> de Datos</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Personales.</w:t>
      </w:r>
    </w:p>
    <w:p w:rsidR="00F91CC8" w:rsidRPr="000A45D9" w:rsidRDefault="00F91CC8" w:rsidP="000A45D9">
      <w:pPr>
        <w:spacing w:line="360" w:lineRule="auto"/>
        <w:ind w:left="567" w:right="567"/>
        <w:jc w:val="both"/>
        <w:rPr>
          <w:rFonts w:ascii="Palatino Linotype" w:eastAsia="Calibri" w:hAnsi="Palatino Linotype" w:cs="Tahoma"/>
          <w:bCs/>
          <w:iCs/>
          <w:lang w:eastAsia="en-US"/>
        </w:rPr>
      </w:pPr>
    </w:p>
    <w:p w:rsidR="000A45D9" w:rsidRDefault="000A45D9" w:rsidP="008D42DE">
      <w:pPr>
        <w:spacing w:line="360" w:lineRule="auto"/>
        <w:ind w:left="567" w:right="567"/>
        <w:jc w:val="both"/>
        <w:rPr>
          <w:rFonts w:ascii="Palatino Linotype" w:eastAsia="Calibri" w:hAnsi="Palatino Linotype" w:cs="Tahoma"/>
          <w:bCs/>
          <w:iCs/>
          <w:lang w:eastAsia="en-US"/>
        </w:rPr>
      </w:pPr>
      <w:r w:rsidRPr="000A45D9">
        <w:rPr>
          <w:rFonts w:ascii="Palatino Linotype" w:eastAsia="Calibri" w:hAnsi="Palatino Linotype" w:cs="Tahoma"/>
          <w:bCs/>
          <w:iCs/>
          <w:lang w:eastAsia="en-US"/>
        </w:rPr>
        <w:t>No obstante, de conformidad con lo previsto en el artículo 12 de la Ley de Transparencia y Acceso</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a la </w:t>
      </w:r>
      <w:r w:rsidR="008D42DE">
        <w:rPr>
          <w:rFonts w:ascii="Palatino Linotype" w:eastAsia="Calibri" w:hAnsi="Palatino Linotype" w:cs="Tahoma"/>
          <w:bCs/>
          <w:iCs/>
          <w:lang w:eastAsia="en-US"/>
        </w:rPr>
        <w:t>I</w:t>
      </w:r>
      <w:r w:rsidR="008D42DE" w:rsidRPr="000A45D9">
        <w:rPr>
          <w:rFonts w:ascii="Palatino Linotype" w:eastAsia="Calibri" w:hAnsi="Palatino Linotype" w:cs="Tahoma"/>
          <w:bCs/>
          <w:iCs/>
          <w:lang w:eastAsia="en-US"/>
        </w:rPr>
        <w:t>nformación</w:t>
      </w:r>
      <w:r w:rsidRPr="000A45D9">
        <w:rPr>
          <w:rFonts w:ascii="Palatino Linotype" w:eastAsia="Calibri" w:hAnsi="Palatino Linotype" w:cs="Tahoma"/>
          <w:bCs/>
          <w:iCs/>
          <w:lang w:eastAsia="en-US"/>
        </w:rPr>
        <w:t xml:space="preserve"> Pública del Estado de México y Municipios, los sujetos obligados no pueden</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generar información para un fin determinado para dar respuesta a una solicitud, </w:t>
      </w:r>
      <w:r w:rsidR="008D42DE">
        <w:rPr>
          <w:rFonts w:ascii="Palatino Linotype" w:eastAsia="Calibri" w:hAnsi="Palatino Linotype" w:cs="Tahoma"/>
          <w:bCs/>
          <w:iCs/>
          <w:lang w:eastAsia="en-US"/>
        </w:rPr>
        <w:t>…</w:t>
      </w:r>
    </w:p>
    <w:p w:rsidR="00F91CC8" w:rsidRPr="000A45D9" w:rsidRDefault="00F91CC8" w:rsidP="008D42DE">
      <w:pPr>
        <w:spacing w:line="360" w:lineRule="auto"/>
        <w:ind w:left="567" w:right="567"/>
        <w:jc w:val="both"/>
        <w:rPr>
          <w:rFonts w:ascii="Palatino Linotype" w:eastAsia="Calibri" w:hAnsi="Palatino Linotype" w:cs="Tahoma"/>
          <w:bCs/>
          <w:iCs/>
          <w:lang w:eastAsia="en-US"/>
        </w:rPr>
      </w:pPr>
    </w:p>
    <w:p w:rsidR="000A45D9" w:rsidRDefault="000A45D9" w:rsidP="000A45D9">
      <w:pPr>
        <w:spacing w:line="360" w:lineRule="auto"/>
        <w:ind w:left="567" w:right="567"/>
        <w:jc w:val="both"/>
        <w:rPr>
          <w:rFonts w:ascii="Palatino Linotype" w:eastAsia="Calibri" w:hAnsi="Palatino Linotype" w:cs="Tahoma"/>
          <w:bCs/>
          <w:iCs/>
          <w:lang w:eastAsia="en-US"/>
        </w:rPr>
      </w:pPr>
      <w:r w:rsidRPr="000A45D9">
        <w:rPr>
          <w:rFonts w:ascii="Palatino Linotype" w:eastAsia="Calibri" w:hAnsi="Palatino Linotype" w:cs="Tahoma"/>
          <w:bCs/>
          <w:iCs/>
          <w:lang w:eastAsia="en-US"/>
        </w:rPr>
        <w:t>Así, la respuesta de</w:t>
      </w:r>
      <w:r w:rsidR="008D42DE">
        <w:rPr>
          <w:rFonts w:ascii="Palatino Linotype" w:eastAsia="Calibri" w:hAnsi="Palatino Linotype" w:cs="Tahoma"/>
          <w:bCs/>
          <w:iCs/>
          <w:lang w:eastAsia="en-US"/>
        </w:rPr>
        <w:t>l</w:t>
      </w:r>
      <w:r w:rsidRPr="000A45D9">
        <w:rPr>
          <w:rFonts w:ascii="Palatino Linotype" w:eastAsia="Calibri" w:hAnsi="Palatino Linotype" w:cs="Tahoma"/>
          <w:bCs/>
          <w:iCs/>
          <w:lang w:eastAsia="en-US"/>
        </w:rPr>
        <w:t xml:space="preserve"> sujeto </w:t>
      </w:r>
      <w:r w:rsidR="008D42DE" w:rsidRPr="000A45D9">
        <w:rPr>
          <w:rFonts w:ascii="Palatino Linotype" w:eastAsia="Calibri" w:hAnsi="Palatino Linotype" w:cs="Tahoma"/>
          <w:bCs/>
          <w:iCs/>
          <w:lang w:eastAsia="en-US"/>
        </w:rPr>
        <w:t>obligado</w:t>
      </w:r>
      <w:r w:rsidRPr="000A45D9">
        <w:rPr>
          <w:rFonts w:ascii="Palatino Linotype" w:eastAsia="Calibri" w:hAnsi="Palatino Linotype" w:cs="Tahoma"/>
          <w:bCs/>
          <w:iCs/>
          <w:lang w:eastAsia="en-US"/>
        </w:rPr>
        <w:t xml:space="preserve"> fue apegada a derecho, toda vez que no se encuentra en sus</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archivos, tal cual fue solicitada, máxime que la información que se pidió se refiere a la Ley de</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Seguridad Social para los </w:t>
      </w:r>
      <w:r w:rsidR="008D42DE">
        <w:rPr>
          <w:rFonts w:ascii="Palatino Linotype" w:eastAsia="Calibri" w:hAnsi="Palatino Linotype" w:cs="Tahoma"/>
          <w:bCs/>
          <w:iCs/>
          <w:lang w:eastAsia="en-US"/>
        </w:rPr>
        <w:t>Serv</w:t>
      </w:r>
      <w:r w:rsidRPr="000A45D9">
        <w:rPr>
          <w:rFonts w:ascii="Palatino Linotype" w:eastAsia="Calibri" w:hAnsi="Palatino Linotype" w:cs="Tahoma"/>
          <w:bCs/>
          <w:iCs/>
          <w:lang w:eastAsia="en-US"/>
        </w:rPr>
        <w:t>idores Públicos del Estado de México y Municipios entraría en vigor</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a </w:t>
      </w:r>
      <w:r w:rsidR="008D42DE" w:rsidRPr="000A45D9">
        <w:rPr>
          <w:rFonts w:ascii="Palatino Linotype" w:eastAsia="Calibri" w:hAnsi="Palatino Linotype" w:cs="Tahoma"/>
          <w:bCs/>
          <w:iCs/>
          <w:lang w:eastAsia="en-US"/>
        </w:rPr>
        <w:t>partir</w:t>
      </w:r>
      <w:r w:rsidRPr="000A45D9">
        <w:rPr>
          <w:rFonts w:ascii="Palatino Linotype" w:eastAsia="Calibri" w:hAnsi="Palatino Linotype" w:cs="Tahoma"/>
          <w:bCs/>
          <w:iCs/>
          <w:lang w:eastAsia="en-US"/>
        </w:rPr>
        <w:t xml:space="preserve"> del 1 de enero de 2019, por tanto aún no se encontraba generada.</w:t>
      </w:r>
    </w:p>
    <w:p w:rsidR="00F91CC8" w:rsidRPr="000A45D9" w:rsidRDefault="00F91CC8" w:rsidP="000A45D9">
      <w:pPr>
        <w:spacing w:line="360" w:lineRule="auto"/>
        <w:ind w:left="567" w:right="567"/>
        <w:jc w:val="both"/>
        <w:rPr>
          <w:rFonts w:ascii="Palatino Linotype" w:eastAsia="Calibri" w:hAnsi="Palatino Linotype" w:cs="Tahoma"/>
          <w:bCs/>
          <w:iCs/>
          <w:lang w:eastAsia="en-US"/>
        </w:rPr>
      </w:pPr>
    </w:p>
    <w:p w:rsidR="000A45D9" w:rsidRDefault="000A45D9" w:rsidP="005877EC">
      <w:pPr>
        <w:spacing w:line="360" w:lineRule="auto"/>
        <w:ind w:left="567" w:right="567"/>
        <w:jc w:val="both"/>
        <w:rPr>
          <w:rFonts w:ascii="Palatino Linotype" w:eastAsia="Calibri" w:hAnsi="Palatino Linotype" w:cs="Tahoma"/>
          <w:bCs/>
          <w:iCs/>
          <w:lang w:eastAsia="en-US"/>
        </w:rPr>
      </w:pPr>
      <w:r w:rsidRPr="000A45D9">
        <w:rPr>
          <w:rFonts w:ascii="Palatino Linotype" w:eastAsia="Calibri" w:hAnsi="Palatino Linotype" w:cs="Tahoma"/>
          <w:bCs/>
          <w:iCs/>
          <w:lang w:eastAsia="en-US"/>
        </w:rPr>
        <w:t xml:space="preserve">En efecto, la mencionada Ley dejó de tener efectos </w:t>
      </w:r>
      <w:r w:rsidR="008D42DE" w:rsidRPr="000A45D9">
        <w:rPr>
          <w:rFonts w:ascii="Palatino Linotype" w:eastAsia="Calibri" w:hAnsi="Palatino Linotype" w:cs="Tahoma"/>
          <w:bCs/>
          <w:iCs/>
          <w:lang w:eastAsia="en-US"/>
        </w:rPr>
        <w:t>jurídicos</w:t>
      </w:r>
      <w:r w:rsidRPr="000A45D9">
        <w:rPr>
          <w:rFonts w:ascii="Palatino Linotype" w:eastAsia="Calibri" w:hAnsi="Palatino Linotype" w:cs="Tahoma"/>
          <w:bCs/>
          <w:iCs/>
          <w:lang w:eastAsia="en-US"/>
        </w:rPr>
        <w:t xml:space="preserve"> en el marco de </w:t>
      </w:r>
      <w:r w:rsidR="008D42DE" w:rsidRPr="000A45D9">
        <w:rPr>
          <w:rFonts w:ascii="Palatino Linotype" w:eastAsia="Calibri" w:hAnsi="Palatino Linotype" w:cs="Tahoma"/>
          <w:bCs/>
          <w:iCs/>
          <w:lang w:eastAsia="en-US"/>
        </w:rPr>
        <w:t>aplicación</w:t>
      </w:r>
      <w:r w:rsidRPr="000A45D9">
        <w:rPr>
          <w:rFonts w:ascii="Palatino Linotype" w:eastAsia="Calibri" w:hAnsi="Palatino Linotype" w:cs="Tahoma"/>
          <w:bCs/>
          <w:iCs/>
          <w:lang w:eastAsia="en-US"/>
        </w:rPr>
        <w:t xml:space="preserve"> de éste</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sujeto obligado, toda vez que el 6 de diciembre de 2018, en la sesión del primer periodo ordinario</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de sesiones del Congreso Mexiquense, el Decreto 317, de la H. LIX Legislatura del Estado de</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México, fue derogado, siendo un hecho </w:t>
      </w:r>
      <w:r w:rsidR="008D42DE" w:rsidRPr="000A45D9">
        <w:rPr>
          <w:rFonts w:ascii="Palatino Linotype" w:eastAsia="Calibri" w:hAnsi="Palatino Linotype" w:cs="Tahoma"/>
          <w:bCs/>
          <w:iCs/>
          <w:lang w:eastAsia="en-US"/>
        </w:rPr>
        <w:t>notorio</w:t>
      </w:r>
      <w:r w:rsidRPr="000A45D9">
        <w:rPr>
          <w:rFonts w:ascii="Palatino Linotype" w:eastAsia="Calibri" w:hAnsi="Palatino Linotype" w:cs="Tahoma"/>
          <w:bCs/>
          <w:iCs/>
          <w:lang w:eastAsia="en-US"/>
        </w:rPr>
        <w:t xml:space="preserve"> que la información para su </w:t>
      </w:r>
      <w:r w:rsidR="008D42DE" w:rsidRPr="000A45D9">
        <w:rPr>
          <w:rFonts w:ascii="Palatino Linotype" w:eastAsia="Calibri" w:hAnsi="Palatino Linotype" w:cs="Tahoma"/>
          <w:bCs/>
          <w:iCs/>
          <w:lang w:eastAsia="en-US"/>
        </w:rPr>
        <w:t>implementación</w:t>
      </w:r>
      <w:r w:rsidRPr="000A45D9">
        <w:rPr>
          <w:rFonts w:ascii="Palatino Linotype" w:eastAsia="Calibri" w:hAnsi="Palatino Linotype" w:cs="Tahoma"/>
          <w:bCs/>
          <w:iCs/>
          <w:lang w:eastAsia="en-US"/>
        </w:rPr>
        <w:t xml:space="preserve"> no</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 xml:space="preserve">podrá generarse, ni este </w:t>
      </w:r>
      <w:r w:rsidR="008D42DE" w:rsidRPr="000A45D9">
        <w:rPr>
          <w:rFonts w:ascii="Palatino Linotype" w:eastAsia="Calibri" w:hAnsi="Palatino Linotype" w:cs="Tahoma"/>
          <w:bCs/>
          <w:iCs/>
          <w:lang w:eastAsia="en-US"/>
        </w:rPr>
        <w:t>sujeto</w:t>
      </w:r>
      <w:r w:rsidRPr="000A45D9">
        <w:rPr>
          <w:rFonts w:ascii="Palatino Linotype" w:eastAsia="Calibri" w:hAnsi="Palatino Linotype" w:cs="Tahoma"/>
          <w:bCs/>
          <w:iCs/>
          <w:lang w:eastAsia="en-US"/>
        </w:rPr>
        <w:t xml:space="preserve"> </w:t>
      </w:r>
      <w:r w:rsidR="008D42DE" w:rsidRPr="000A45D9">
        <w:rPr>
          <w:rFonts w:ascii="Palatino Linotype" w:eastAsia="Calibri" w:hAnsi="Palatino Linotype" w:cs="Tahoma"/>
          <w:bCs/>
          <w:iCs/>
          <w:lang w:eastAsia="en-US"/>
        </w:rPr>
        <w:t>obligado</w:t>
      </w:r>
      <w:r w:rsidRPr="000A45D9">
        <w:rPr>
          <w:rFonts w:ascii="Palatino Linotype" w:eastAsia="Calibri" w:hAnsi="Palatino Linotype" w:cs="Tahoma"/>
          <w:bCs/>
          <w:iCs/>
          <w:lang w:eastAsia="en-US"/>
        </w:rPr>
        <w:t xml:space="preserve"> se encuentra obligado a presentarla conforme al interés</w:t>
      </w:r>
      <w:r w:rsidR="008D42DE">
        <w:rPr>
          <w:rFonts w:ascii="Palatino Linotype" w:eastAsia="Calibri" w:hAnsi="Palatino Linotype" w:cs="Tahoma"/>
          <w:bCs/>
          <w:iCs/>
          <w:lang w:eastAsia="en-US"/>
        </w:rPr>
        <w:t xml:space="preserve"> </w:t>
      </w:r>
      <w:r w:rsidRPr="000A45D9">
        <w:rPr>
          <w:rFonts w:ascii="Palatino Linotype" w:eastAsia="Calibri" w:hAnsi="Palatino Linotype" w:cs="Tahoma"/>
          <w:bCs/>
          <w:iCs/>
          <w:lang w:eastAsia="en-US"/>
        </w:rPr>
        <w:t>del solicitante.</w:t>
      </w:r>
    </w:p>
    <w:p w:rsidR="000A45D9" w:rsidRPr="00BC5E14" w:rsidRDefault="000A45D9" w:rsidP="000A45D9">
      <w:pPr>
        <w:pStyle w:val="Prrafodelista"/>
        <w:numPr>
          <w:ilvl w:val="0"/>
          <w:numId w:val="18"/>
        </w:numPr>
        <w:spacing w:line="360" w:lineRule="auto"/>
        <w:ind w:left="284" w:hanging="284"/>
        <w:contextualSpacing w:val="0"/>
        <w:jc w:val="both"/>
        <w:rPr>
          <w:rFonts w:ascii="Palatino Linotype" w:eastAsia="Calibri" w:hAnsi="Palatino Linotype" w:cs="Tahoma"/>
          <w:b/>
          <w:bCs/>
          <w:i/>
          <w:iCs/>
          <w:lang w:eastAsia="en-US"/>
        </w:rPr>
      </w:pPr>
      <w:r w:rsidRPr="000A45D9">
        <w:rPr>
          <w:rFonts w:ascii="Palatino Linotype" w:eastAsia="Calibri" w:hAnsi="Palatino Linotype" w:cs="Tahoma"/>
          <w:b/>
          <w:bCs/>
          <w:i/>
          <w:iCs/>
          <w:lang w:eastAsia="en-US"/>
        </w:rPr>
        <w:lastRenderedPageBreak/>
        <w:t>SOLICITUD 719.IP.pdf</w:t>
      </w:r>
      <w:r>
        <w:rPr>
          <w:rFonts w:ascii="Palatino Linotype" w:eastAsia="Calibri" w:hAnsi="Palatino Linotype" w:cs="Tahoma"/>
          <w:b/>
          <w:bCs/>
          <w:i/>
          <w:iCs/>
          <w:lang w:eastAsia="en-US"/>
        </w:rPr>
        <w:t>:</w:t>
      </w:r>
      <w:r w:rsidR="008D42DE">
        <w:rPr>
          <w:rFonts w:ascii="Palatino Linotype" w:eastAsia="Calibri" w:hAnsi="Palatino Linotype" w:cs="Tahoma"/>
          <w:bCs/>
          <w:iCs/>
          <w:lang w:eastAsia="en-US"/>
        </w:rPr>
        <w:t xml:space="preserve"> Corresponde al Acuse de la Solicitud de Información Pública con número de folio </w:t>
      </w:r>
      <w:r w:rsidR="008D42DE" w:rsidRPr="008D42DE">
        <w:rPr>
          <w:rFonts w:ascii="Palatino Linotype" w:eastAsia="Calibri" w:hAnsi="Palatino Linotype" w:cs="Tahoma"/>
          <w:b/>
          <w:bCs/>
          <w:iCs/>
          <w:lang w:eastAsia="en-US"/>
        </w:rPr>
        <w:t>00719/ISSEMYM/IP/2018</w:t>
      </w:r>
      <w:r w:rsidR="008D42DE">
        <w:rPr>
          <w:rFonts w:ascii="Palatino Linotype" w:eastAsia="Calibri" w:hAnsi="Palatino Linotype" w:cs="Tahoma"/>
          <w:b/>
          <w:bCs/>
          <w:iCs/>
          <w:lang w:eastAsia="en-US"/>
        </w:rPr>
        <w:t>.</w:t>
      </w:r>
    </w:p>
    <w:p w:rsidR="009A7F66" w:rsidRDefault="009A7F66" w:rsidP="00BC5E14">
      <w:pPr>
        <w:pStyle w:val="Prrafodelista"/>
        <w:spacing w:line="360" w:lineRule="auto"/>
        <w:ind w:left="284"/>
        <w:contextualSpacing w:val="0"/>
        <w:jc w:val="both"/>
        <w:rPr>
          <w:rFonts w:ascii="Palatino Linotype" w:eastAsia="Calibri" w:hAnsi="Palatino Linotype" w:cs="Tahoma"/>
          <w:b/>
          <w:bCs/>
          <w:i/>
          <w:iCs/>
          <w:lang w:eastAsia="en-US"/>
        </w:rPr>
      </w:pPr>
    </w:p>
    <w:p w:rsidR="000A45D9" w:rsidRPr="005877EC" w:rsidRDefault="000A45D9" w:rsidP="002077E2">
      <w:pPr>
        <w:pStyle w:val="Prrafodelista"/>
        <w:numPr>
          <w:ilvl w:val="0"/>
          <w:numId w:val="18"/>
        </w:numPr>
        <w:spacing w:line="360" w:lineRule="auto"/>
        <w:ind w:left="357" w:hanging="357"/>
        <w:contextualSpacing w:val="0"/>
        <w:jc w:val="both"/>
        <w:rPr>
          <w:rFonts w:ascii="Palatino Linotype" w:eastAsia="Calibri" w:hAnsi="Palatino Linotype" w:cs="Tahoma"/>
          <w:b/>
          <w:bCs/>
          <w:i/>
          <w:iCs/>
          <w:lang w:eastAsia="en-US"/>
        </w:rPr>
      </w:pPr>
      <w:r>
        <w:rPr>
          <w:rFonts w:ascii="Palatino Linotype" w:eastAsia="Calibri" w:hAnsi="Palatino Linotype" w:cs="Tahoma"/>
          <w:b/>
          <w:bCs/>
          <w:i/>
          <w:iCs/>
          <w:lang w:eastAsia="en-US"/>
        </w:rPr>
        <w:t>719.IP.pdf:</w:t>
      </w:r>
      <w:r w:rsidR="008D42DE">
        <w:rPr>
          <w:rFonts w:ascii="Palatino Linotype" w:eastAsia="Calibri" w:hAnsi="Palatino Linotype" w:cs="Tahoma"/>
          <w:b/>
          <w:bCs/>
          <w:i/>
          <w:iCs/>
          <w:lang w:eastAsia="en-US"/>
        </w:rPr>
        <w:t xml:space="preserve"> </w:t>
      </w:r>
      <w:r w:rsidR="008D42DE">
        <w:rPr>
          <w:rFonts w:ascii="Palatino Linotype" w:hAnsi="Palatino Linotype" w:cs="Tahoma"/>
          <w:bCs/>
        </w:rPr>
        <w:t>Co</w:t>
      </w:r>
      <w:r w:rsidR="008D42DE" w:rsidRPr="00B45672">
        <w:rPr>
          <w:rFonts w:ascii="Palatino Linotype" w:hAnsi="Palatino Linotype" w:cs="Tahoma"/>
          <w:bCs/>
        </w:rPr>
        <w:t xml:space="preserve">ntiene el </w:t>
      </w:r>
      <w:r w:rsidR="008D42DE">
        <w:rPr>
          <w:rFonts w:ascii="Palatino Linotype" w:hAnsi="Palatino Linotype" w:cs="Tahoma"/>
          <w:bCs/>
        </w:rPr>
        <w:t xml:space="preserve">documento </w:t>
      </w:r>
      <w:r w:rsidR="008D42DE" w:rsidRPr="00B45672">
        <w:rPr>
          <w:rFonts w:ascii="Palatino Linotype" w:hAnsi="Palatino Linotype" w:cs="Tahoma"/>
          <w:bCs/>
        </w:rPr>
        <w:t xml:space="preserve">número </w:t>
      </w:r>
      <w:r w:rsidR="008D42DE">
        <w:rPr>
          <w:rFonts w:ascii="Palatino Linotype" w:hAnsi="Palatino Linotype" w:cs="Tahoma"/>
          <w:bCs/>
        </w:rPr>
        <w:t>203F 80000-UT-1236/</w:t>
      </w:r>
      <w:r w:rsidR="008D42DE" w:rsidRPr="00B45672">
        <w:rPr>
          <w:rFonts w:ascii="Palatino Linotype" w:hAnsi="Palatino Linotype" w:cs="Tahoma"/>
          <w:bCs/>
        </w:rPr>
        <w:t>2018</w:t>
      </w:r>
      <w:r w:rsidR="008D42DE">
        <w:rPr>
          <w:rFonts w:ascii="Palatino Linotype" w:hAnsi="Palatino Linotype" w:cs="Tahoma"/>
          <w:bCs/>
        </w:rPr>
        <w:t xml:space="preserve">, cuyo contenido se encuentra descrito en el apartado </w:t>
      </w:r>
      <w:r w:rsidR="008D42DE" w:rsidRPr="008D42DE">
        <w:rPr>
          <w:rFonts w:ascii="Palatino Linotype" w:hAnsi="Palatino Linotype" w:cs="Tahoma"/>
          <w:b/>
          <w:bCs/>
        </w:rPr>
        <w:t>II. Respuesta del Sujeto Obligado</w:t>
      </w:r>
      <w:r w:rsidR="008D42DE">
        <w:rPr>
          <w:rFonts w:ascii="Palatino Linotype" w:hAnsi="Palatino Linotype" w:cs="Tahoma"/>
          <w:b/>
          <w:bCs/>
        </w:rPr>
        <w:t xml:space="preserve">, </w:t>
      </w:r>
      <w:r w:rsidR="008D42DE">
        <w:rPr>
          <w:rFonts w:ascii="Palatino Linotype" w:hAnsi="Palatino Linotype" w:cs="Tahoma"/>
          <w:bCs/>
        </w:rPr>
        <w:t>de la presente Resolución.</w:t>
      </w:r>
    </w:p>
    <w:p w:rsidR="005877EC" w:rsidRPr="005877EC" w:rsidRDefault="005877EC" w:rsidP="005877EC">
      <w:pPr>
        <w:spacing w:line="360" w:lineRule="auto"/>
        <w:jc w:val="both"/>
        <w:rPr>
          <w:rFonts w:ascii="Palatino Linotype" w:eastAsia="Calibri" w:hAnsi="Palatino Linotype" w:cs="Tahoma"/>
          <w:b/>
          <w:bCs/>
          <w:i/>
          <w:iCs/>
          <w:lang w:eastAsia="en-US"/>
        </w:rPr>
      </w:pPr>
    </w:p>
    <w:p w:rsidR="002077E2" w:rsidRPr="002077E2" w:rsidRDefault="000A45D9" w:rsidP="002077E2">
      <w:pPr>
        <w:pStyle w:val="Prrafodelista"/>
        <w:numPr>
          <w:ilvl w:val="0"/>
          <w:numId w:val="18"/>
        </w:numPr>
        <w:spacing w:line="360" w:lineRule="auto"/>
        <w:ind w:left="284" w:hanging="284"/>
        <w:contextualSpacing w:val="0"/>
        <w:jc w:val="both"/>
        <w:rPr>
          <w:rFonts w:ascii="Palatino Linotype" w:eastAsia="Calibri" w:hAnsi="Palatino Linotype" w:cs="Tahoma"/>
          <w:b/>
          <w:bCs/>
          <w:i/>
          <w:iCs/>
          <w:lang w:eastAsia="en-US"/>
        </w:rPr>
      </w:pPr>
      <w:r>
        <w:rPr>
          <w:rFonts w:ascii="Palatino Linotype" w:eastAsia="Calibri" w:hAnsi="Palatino Linotype" w:cs="Tahoma"/>
          <w:b/>
          <w:bCs/>
          <w:i/>
          <w:iCs/>
          <w:lang w:eastAsia="en-US"/>
        </w:rPr>
        <w:t>INTERPOSICIÓN RECURSO DE REVISIÓN 719.IP.pdf:</w:t>
      </w:r>
      <w:r w:rsidR="008D42DE">
        <w:rPr>
          <w:rFonts w:ascii="Palatino Linotype" w:eastAsia="Calibri" w:hAnsi="Palatino Linotype" w:cs="Tahoma"/>
          <w:b/>
          <w:bCs/>
          <w:i/>
          <w:iCs/>
          <w:lang w:eastAsia="en-US"/>
        </w:rPr>
        <w:t xml:space="preserve"> </w:t>
      </w:r>
      <w:r w:rsidR="008D42DE">
        <w:rPr>
          <w:rFonts w:ascii="Palatino Linotype" w:eastAsia="Calibri" w:hAnsi="Palatino Linotype" w:cs="Tahoma"/>
          <w:bCs/>
          <w:iCs/>
          <w:lang w:eastAsia="en-US"/>
        </w:rPr>
        <w:t xml:space="preserve">Corresponde al Formato de Recurso de Revisión con folio </w:t>
      </w:r>
      <w:r w:rsidR="008D42DE" w:rsidRPr="008D42DE">
        <w:rPr>
          <w:rFonts w:ascii="Palatino Linotype" w:eastAsia="Calibri" w:hAnsi="Palatino Linotype" w:cs="Tahoma"/>
          <w:b/>
          <w:bCs/>
          <w:iCs/>
          <w:lang w:eastAsia="en-US"/>
        </w:rPr>
        <w:t>04591/INFOEM/IP/RR/2018</w:t>
      </w:r>
      <w:r w:rsidR="008D42DE">
        <w:rPr>
          <w:rFonts w:ascii="Palatino Linotype" w:eastAsia="Calibri" w:hAnsi="Palatino Linotype" w:cs="Tahoma"/>
          <w:b/>
          <w:bCs/>
          <w:iCs/>
          <w:lang w:eastAsia="en-US"/>
        </w:rPr>
        <w:t>.</w:t>
      </w:r>
    </w:p>
    <w:p w:rsidR="002077E2" w:rsidRDefault="002077E2" w:rsidP="002077E2">
      <w:pPr>
        <w:spacing w:line="360" w:lineRule="auto"/>
        <w:jc w:val="both"/>
        <w:rPr>
          <w:rFonts w:ascii="Palatino Linotype" w:eastAsia="Calibri" w:hAnsi="Palatino Linotype" w:cs="Tahoma"/>
          <w:b/>
          <w:bCs/>
          <w:i/>
          <w:iCs/>
          <w:lang w:eastAsia="en-US"/>
        </w:rPr>
      </w:pPr>
    </w:p>
    <w:p w:rsidR="002077E2" w:rsidRPr="004B43FB" w:rsidRDefault="002077E2" w:rsidP="004B43F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 xml:space="preserve">d) Vista del Informe Justificado. </w:t>
      </w:r>
      <w:r>
        <w:rPr>
          <w:rFonts w:ascii="Palatino Linotype" w:eastAsia="Calibri" w:hAnsi="Palatino Linotype" w:cs="Tahoma"/>
          <w:bCs/>
          <w:sz w:val="22"/>
          <w:szCs w:val="22"/>
          <w:lang w:val="es-ES" w:eastAsia="en-US"/>
        </w:rPr>
        <w:t>Con fecha veinticinco</w:t>
      </w:r>
      <w:r w:rsidRPr="006E3C12">
        <w:rPr>
          <w:rFonts w:ascii="Palatino Linotype" w:eastAsia="Calibri" w:hAnsi="Palatino Linotype" w:cs="Tahoma"/>
          <w:bCs/>
          <w:sz w:val="22"/>
          <w:szCs w:val="22"/>
          <w:lang w:val="es-ES" w:eastAsia="en-US"/>
        </w:rPr>
        <w:t xml:space="preserve"> de </w:t>
      </w:r>
      <w:r>
        <w:rPr>
          <w:rFonts w:ascii="Palatino Linotype" w:eastAsia="Calibri" w:hAnsi="Palatino Linotype" w:cs="Tahoma"/>
          <w:bCs/>
          <w:sz w:val="22"/>
          <w:szCs w:val="22"/>
          <w:lang w:val="es-ES" w:eastAsia="en-US"/>
        </w:rPr>
        <w:t>enero</w:t>
      </w:r>
      <w:r w:rsidRPr="006E3C12">
        <w:rPr>
          <w:rFonts w:ascii="Palatino Linotype" w:eastAsia="Calibri" w:hAnsi="Palatino Linotype" w:cs="Tahoma"/>
          <w:bCs/>
          <w:sz w:val="22"/>
          <w:szCs w:val="22"/>
          <w:lang w:val="es-ES" w:eastAsia="en-US"/>
        </w:rPr>
        <w:t xml:space="preserve"> de dos</w:t>
      </w:r>
      <w:r>
        <w:rPr>
          <w:rFonts w:ascii="Palatino Linotype" w:eastAsia="Calibri" w:hAnsi="Palatino Linotype" w:cs="Tahoma"/>
          <w:bCs/>
          <w:sz w:val="22"/>
          <w:szCs w:val="22"/>
          <w:lang w:val="es-ES" w:eastAsia="en-US"/>
        </w:rPr>
        <w:t xml:space="preserve"> mil diecinueve</w:t>
      </w:r>
      <w:r w:rsidRPr="006E3C12">
        <w:rPr>
          <w:rFonts w:ascii="Palatino Linotype" w:eastAsia="Calibri" w:hAnsi="Palatino Linotype" w:cs="Tahoma"/>
          <w:bCs/>
          <w:sz w:val="22"/>
          <w:szCs w:val="22"/>
          <w:lang w:val="es-ES" w:eastAsia="en-US"/>
        </w:rPr>
        <w:t>,</w:t>
      </w:r>
      <w:r w:rsidR="004B43FB">
        <w:rPr>
          <w:rFonts w:ascii="Palatino Linotype" w:eastAsia="Calibri" w:hAnsi="Palatino Linotype" w:cs="Tahoma"/>
          <w:bCs/>
          <w:sz w:val="22"/>
          <w:szCs w:val="22"/>
          <w:lang w:val="es-ES" w:eastAsia="en-US"/>
        </w:rPr>
        <w:t xml:space="preserve"> a través del Sistema de Acceso a la Información Mexiquense (SAIMEX), se dio vista al</w:t>
      </w:r>
      <w:r>
        <w:rPr>
          <w:rFonts w:ascii="Palatino Linotype" w:eastAsia="Calibri" w:hAnsi="Palatino Linotype" w:cs="Tahoma"/>
          <w:bCs/>
          <w:sz w:val="22"/>
          <w:szCs w:val="22"/>
          <w:lang w:val="es-ES" w:eastAsia="en-US"/>
        </w:rPr>
        <w:t xml:space="preserve"> Particular del Informe Justificado y </w:t>
      </w:r>
      <w:r w:rsidR="009A7F66">
        <w:rPr>
          <w:rFonts w:ascii="Palatino Linotype" w:eastAsia="Calibri" w:hAnsi="Palatino Linotype" w:cs="Tahoma"/>
          <w:bCs/>
          <w:sz w:val="22"/>
          <w:szCs w:val="22"/>
          <w:lang w:val="es-ES" w:eastAsia="en-US"/>
        </w:rPr>
        <w:t>lo</w:t>
      </w:r>
      <w:r w:rsidR="004B43FB">
        <w:rPr>
          <w:rFonts w:ascii="Palatino Linotype" w:eastAsia="Calibri" w:hAnsi="Palatino Linotype" w:cs="Tahoma"/>
          <w:bCs/>
          <w:sz w:val="22"/>
          <w:szCs w:val="22"/>
          <w:lang w:val="es-ES" w:eastAsia="en-US"/>
        </w:rPr>
        <w:t>s</w:t>
      </w:r>
      <w:r>
        <w:rPr>
          <w:rFonts w:ascii="Palatino Linotype" w:eastAsia="Calibri" w:hAnsi="Palatino Linotype" w:cs="Tahoma"/>
          <w:bCs/>
          <w:sz w:val="22"/>
          <w:szCs w:val="22"/>
          <w:lang w:val="es-ES" w:eastAsia="en-US"/>
        </w:rPr>
        <w:t xml:space="preserve"> anexo</w:t>
      </w:r>
      <w:r w:rsidR="004B43FB">
        <w:rPr>
          <w:rFonts w:ascii="Palatino Linotype" w:eastAsia="Calibri" w:hAnsi="Palatino Linotype" w:cs="Tahoma"/>
          <w:bCs/>
          <w:sz w:val="22"/>
          <w:szCs w:val="22"/>
          <w:lang w:val="es-ES" w:eastAsia="en-US"/>
        </w:rPr>
        <w:t>s</w:t>
      </w:r>
      <w:r>
        <w:rPr>
          <w:rFonts w:ascii="Palatino Linotype" w:eastAsia="Calibri" w:hAnsi="Palatino Linotype" w:cs="Tahoma"/>
          <w:bCs/>
          <w:sz w:val="22"/>
          <w:szCs w:val="22"/>
          <w:lang w:val="es-ES" w:eastAsia="en-US"/>
        </w:rPr>
        <w:t xml:space="preserve"> proporcionado</w:t>
      </w:r>
      <w:r w:rsidR="004B43FB">
        <w:rPr>
          <w:rFonts w:ascii="Palatino Linotype" w:eastAsia="Calibri" w:hAnsi="Palatino Linotype" w:cs="Tahoma"/>
          <w:bCs/>
          <w:sz w:val="22"/>
          <w:szCs w:val="22"/>
          <w:lang w:val="es-ES" w:eastAsia="en-US"/>
        </w:rPr>
        <w:t xml:space="preserve">s por el Sujeto Obligado y se </w:t>
      </w:r>
      <w:r w:rsidR="009A7F66">
        <w:rPr>
          <w:rFonts w:ascii="Palatino Linotype" w:eastAsia="Calibri" w:hAnsi="Palatino Linotype" w:cs="Tahoma"/>
          <w:bCs/>
          <w:sz w:val="22"/>
          <w:szCs w:val="22"/>
          <w:lang w:val="es-ES" w:eastAsia="en-US"/>
        </w:rPr>
        <w:t xml:space="preserve">le </w:t>
      </w:r>
      <w:r w:rsidR="004B43FB">
        <w:rPr>
          <w:rFonts w:ascii="Palatino Linotype" w:eastAsia="Calibri" w:hAnsi="Palatino Linotype" w:cs="Tahoma"/>
          <w:bCs/>
          <w:sz w:val="22"/>
          <w:szCs w:val="22"/>
          <w:lang w:val="es-ES" w:eastAsia="en-US"/>
        </w:rPr>
        <w:t xml:space="preserve">hizo de conocimiento el </w:t>
      </w:r>
      <w:r w:rsidR="004B43FB" w:rsidRPr="004B43FB">
        <w:rPr>
          <w:rFonts w:ascii="Palatino Linotype" w:eastAsia="Calibri" w:hAnsi="Palatino Linotype" w:cs="Tahoma"/>
          <w:bCs/>
          <w:sz w:val="22"/>
          <w:szCs w:val="22"/>
          <w:lang w:eastAsia="en-US"/>
        </w:rPr>
        <w:t xml:space="preserve">término </w:t>
      </w:r>
      <w:r w:rsidR="004B43FB">
        <w:rPr>
          <w:rFonts w:ascii="Palatino Linotype" w:eastAsia="Calibri" w:hAnsi="Palatino Linotype" w:cs="Tahoma"/>
          <w:bCs/>
          <w:sz w:val="22"/>
          <w:szCs w:val="22"/>
          <w:lang w:eastAsia="en-US"/>
        </w:rPr>
        <w:t>de</w:t>
      </w:r>
      <w:r w:rsidR="004B43FB" w:rsidRPr="004B43FB">
        <w:rPr>
          <w:rFonts w:ascii="Palatino Linotype" w:eastAsia="Calibri" w:hAnsi="Palatino Linotype" w:cs="Tahoma"/>
          <w:bCs/>
          <w:sz w:val="22"/>
          <w:szCs w:val="22"/>
          <w:lang w:eastAsia="en-US"/>
        </w:rPr>
        <w:t xml:space="preserve"> tres días hábiles, contados a partir del día hábil siguiente a </w:t>
      </w:r>
      <w:r w:rsidR="004B43FB">
        <w:rPr>
          <w:rFonts w:ascii="Palatino Linotype" w:eastAsia="Calibri" w:hAnsi="Palatino Linotype" w:cs="Tahoma"/>
          <w:bCs/>
          <w:sz w:val="22"/>
          <w:szCs w:val="22"/>
          <w:lang w:eastAsia="en-US"/>
        </w:rPr>
        <w:t>dicha</w:t>
      </w:r>
      <w:r w:rsidR="004B43FB" w:rsidRPr="004B43FB">
        <w:rPr>
          <w:rFonts w:ascii="Palatino Linotype" w:eastAsia="Calibri" w:hAnsi="Palatino Linotype" w:cs="Tahoma"/>
          <w:bCs/>
          <w:sz w:val="22"/>
          <w:szCs w:val="22"/>
          <w:lang w:eastAsia="en-US"/>
        </w:rPr>
        <w:t xml:space="preserve"> notificación </w:t>
      </w:r>
      <w:r w:rsidR="004B43FB">
        <w:rPr>
          <w:rFonts w:ascii="Palatino Linotype" w:eastAsia="Calibri" w:hAnsi="Palatino Linotype" w:cs="Tahoma"/>
          <w:bCs/>
          <w:sz w:val="22"/>
          <w:szCs w:val="22"/>
          <w:lang w:eastAsia="en-US"/>
        </w:rPr>
        <w:t>para que manifestara lo que a su derecho conviniera</w:t>
      </w:r>
      <w:r w:rsidR="004B43FB" w:rsidRPr="004B43FB">
        <w:rPr>
          <w:rFonts w:ascii="Palatino Linotype" w:eastAsia="Calibri" w:hAnsi="Palatino Linotype" w:cs="Tahoma"/>
          <w:bCs/>
          <w:sz w:val="22"/>
          <w:szCs w:val="22"/>
          <w:lang w:eastAsia="en-US"/>
        </w:rPr>
        <w:t>.</w:t>
      </w:r>
    </w:p>
    <w:p w:rsidR="002077E2" w:rsidRPr="002077E2" w:rsidRDefault="002077E2" w:rsidP="002077E2">
      <w:pPr>
        <w:spacing w:line="360" w:lineRule="auto"/>
        <w:jc w:val="both"/>
        <w:rPr>
          <w:rFonts w:ascii="Palatino Linotype" w:eastAsia="Calibri" w:hAnsi="Palatino Linotype" w:cs="Tahoma"/>
          <w:bCs/>
          <w:iCs/>
          <w:lang w:eastAsia="en-US"/>
        </w:rPr>
      </w:pPr>
    </w:p>
    <w:p w:rsidR="000A45D9" w:rsidRPr="008B70E6" w:rsidRDefault="004B43FB" w:rsidP="004B43FB">
      <w:pPr>
        <w:spacing w:line="360" w:lineRule="auto"/>
        <w:jc w:val="both"/>
        <w:rPr>
          <w:rFonts w:ascii="Palatino Linotype" w:eastAsia="Calibri" w:hAnsi="Palatino Linotype" w:cs="Tahoma"/>
          <w:bCs/>
          <w:i/>
          <w:szCs w:val="22"/>
          <w:lang w:eastAsia="en-US"/>
        </w:rPr>
      </w:pPr>
      <w:r>
        <w:rPr>
          <w:rFonts w:ascii="Palatino Linotype" w:eastAsia="Calibri" w:hAnsi="Palatino Linotype" w:cs="Tahoma"/>
          <w:b/>
          <w:bCs/>
          <w:sz w:val="22"/>
          <w:szCs w:val="22"/>
          <w:lang w:eastAsia="en-US"/>
        </w:rPr>
        <w:t>e</w:t>
      </w:r>
      <w:r w:rsidR="000A45D9" w:rsidRPr="00A8511B">
        <w:rPr>
          <w:rFonts w:ascii="Palatino Linotype" w:eastAsia="Calibri" w:hAnsi="Palatino Linotype" w:cs="Tahoma"/>
          <w:b/>
          <w:bCs/>
          <w:sz w:val="22"/>
          <w:szCs w:val="22"/>
          <w:lang w:eastAsia="en-US"/>
        </w:rPr>
        <w:t xml:space="preserve">) Manifestaciones: </w:t>
      </w:r>
      <w:r>
        <w:rPr>
          <w:rFonts w:ascii="Palatino Linotype" w:eastAsia="Calibri" w:hAnsi="Palatino Linotype" w:cs="Tahoma"/>
          <w:bCs/>
          <w:sz w:val="22"/>
          <w:szCs w:val="22"/>
          <w:lang w:eastAsia="en-US"/>
        </w:rPr>
        <w:t xml:space="preserve">De las constancias que obran en el expediente electrónico en el </w:t>
      </w:r>
      <w:r>
        <w:rPr>
          <w:rFonts w:ascii="Palatino Linotype" w:eastAsia="Calibri" w:hAnsi="Palatino Linotype" w:cs="Tahoma"/>
          <w:bCs/>
          <w:sz w:val="22"/>
          <w:szCs w:val="22"/>
          <w:lang w:val="es-ES" w:eastAsia="en-US"/>
        </w:rPr>
        <w:t>Sistema de Acceso a la Información Mexiquense (SAIMEX), se observa que el Particular no presentó manifestaciones.</w:t>
      </w:r>
    </w:p>
    <w:p w:rsidR="000A45D9" w:rsidRDefault="000A45D9" w:rsidP="000A45D9">
      <w:pPr>
        <w:spacing w:line="360" w:lineRule="auto"/>
        <w:jc w:val="both"/>
        <w:rPr>
          <w:rFonts w:ascii="Palatino Linotype" w:eastAsia="Calibri" w:hAnsi="Palatino Linotype" w:cs="Tahoma"/>
          <w:b/>
          <w:bCs/>
          <w:sz w:val="22"/>
          <w:szCs w:val="22"/>
          <w:lang w:eastAsia="en-US"/>
        </w:rPr>
      </w:pPr>
    </w:p>
    <w:p w:rsidR="000A45D9" w:rsidRDefault="004B43FB" w:rsidP="000A45D9">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0A45D9" w:rsidRPr="00AF6580">
        <w:rPr>
          <w:rFonts w:ascii="Palatino Linotype" w:hAnsi="Palatino Linotype" w:cs="Tahoma"/>
          <w:b/>
          <w:sz w:val="22"/>
          <w:szCs w:val="22"/>
        </w:rPr>
        <w:t>) Cierre de instrucción:</w:t>
      </w:r>
      <w:r w:rsidR="000A45D9" w:rsidRPr="00AF6580">
        <w:rPr>
          <w:rFonts w:ascii="Palatino Linotype" w:hAnsi="Palatino Linotype" w:cs="Tahoma"/>
          <w:sz w:val="22"/>
          <w:szCs w:val="22"/>
        </w:rPr>
        <w:t xml:space="preserve"> El </w:t>
      </w:r>
      <w:r w:rsidR="005877EC">
        <w:rPr>
          <w:rFonts w:ascii="Palatino Linotype" w:hAnsi="Palatino Linotype" w:cs="Tahoma"/>
          <w:sz w:val="22"/>
          <w:szCs w:val="22"/>
        </w:rPr>
        <w:t>seis de febrero</w:t>
      </w:r>
      <w:r w:rsidR="000A45D9">
        <w:rPr>
          <w:rFonts w:ascii="Palatino Linotype" w:hAnsi="Palatino Linotype" w:cs="Tahoma"/>
          <w:sz w:val="22"/>
          <w:szCs w:val="22"/>
        </w:rPr>
        <w:t xml:space="preserve"> de dos mil diecinueve</w:t>
      </w:r>
      <w:r w:rsidR="000A45D9"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w:t>
      </w:r>
      <w:r w:rsidR="000A45D9" w:rsidRPr="00AF6580">
        <w:rPr>
          <w:rFonts w:ascii="Palatino Linotype" w:hAnsi="Palatino Linotype" w:cs="Tahoma"/>
          <w:sz w:val="22"/>
          <w:szCs w:val="22"/>
        </w:rPr>
        <w:lastRenderedPageBreak/>
        <w:t xml:space="preserve">Estado de México y Municipios; acto que fue notificado a las partes el mismo día, a través del </w:t>
      </w:r>
      <w:r w:rsidR="000A45D9">
        <w:rPr>
          <w:rFonts w:ascii="Palatino Linotype" w:hAnsi="Palatino Linotype" w:cs="Tahoma"/>
          <w:sz w:val="22"/>
          <w:szCs w:val="22"/>
        </w:rPr>
        <w:t>Sistema de Acceso a la Información Mexiquense (SAIMEX).</w:t>
      </w:r>
    </w:p>
    <w:p w:rsidR="000A45D9" w:rsidRDefault="000A45D9" w:rsidP="000A45D9">
      <w:pPr>
        <w:spacing w:line="360" w:lineRule="auto"/>
        <w:jc w:val="both"/>
        <w:rPr>
          <w:rFonts w:ascii="Palatino Linotype" w:hAnsi="Palatino Linotype" w:cs="Tahoma"/>
          <w:sz w:val="22"/>
          <w:szCs w:val="22"/>
        </w:rPr>
      </w:pPr>
    </w:p>
    <w:p w:rsidR="000A45D9" w:rsidRPr="005B3636" w:rsidRDefault="005877EC" w:rsidP="000A45D9">
      <w:pPr>
        <w:spacing w:line="360" w:lineRule="auto"/>
        <w:jc w:val="both"/>
        <w:rPr>
          <w:rFonts w:ascii="Palatino Linotype" w:hAnsi="Palatino Linotype" w:cs="Tahoma"/>
          <w:sz w:val="22"/>
          <w:szCs w:val="24"/>
        </w:rPr>
      </w:pPr>
      <w:r>
        <w:rPr>
          <w:rFonts w:ascii="Palatino Linotype" w:hAnsi="Palatino Linotype" w:cs="Tahoma"/>
          <w:b/>
          <w:sz w:val="22"/>
          <w:szCs w:val="24"/>
        </w:rPr>
        <w:t>g</w:t>
      </w:r>
      <w:r w:rsidR="000A45D9" w:rsidRPr="00767D51">
        <w:rPr>
          <w:rFonts w:ascii="Palatino Linotype" w:hAnsi="Palatino Linotype" w:cs="Tahoma"/>
          <w:b/>
          <w:sz w:val="22"/>
          <w:szCs w:val="24"/>
        </w:rPr>
        <w:t xml:space="preserve">) </w:t>
      </w:r>
      <w:r w:rsidR="000A45D9" w:rsidRPr="00767D51">
        <w:rPr>
          <w:rFonts w:ascii="Palatino Linotype" w:hAnsi="Palatino Linotype" w:cs="Tahoma"/>
          <w:b/>
          <w:bCs/>
          <w:sz w:val="22"/>
          <w:szCs w:val="24"/>
        </w:rPr>
        <w:t>Ampliación del plazo para resolver:</w:t>
      </w:r>
      <w:r w:rsidR="000A45D9" w:rsidRPr="005B3636">
        <w:rPr>
          <w:rFonts w:ascii="Palatino Linotype" w:hAnsi="Palatino Linotype" w:cs="Tahoma"/>
          <w:b/>
          <w:bCs/>
          <w:sz w:val="22"/>
          <w:szCs w:val="24"/>
        </w:rPr>
        <w:t> </w:t>
      </w:r>
      <w:r w:rsidR="000A45D9" w:rsidRPr="005B3636">
        <w:rPr>
          <w:rFonts w:ascii="Palatino Linotype" w:hAnsi="Palatino Linotype" w:cs="Tahoma"/>
          <w:sz w:val="22"/>
          <w:szCs w:val="24"/>
        </w:rPr>
        <w:t xml:space="preserve">El </w:t>
      </w:r>
      <w:r>
        <w:rPr>
          <w:rFonts w:ascii="Palatino Linotype" w:hAnsi="Palatino Linotype" w:cs="Tahoma"/>
          <w:sz w:val="22"/>
          <w:szCs w:val="24"/>
        </w:rPr>
        <w:t>seis</w:t>
      </w:r>
      <w:r w:rsidR="000A45D9">
        <w:rPr>
          <w:rFonts w:ascii="Palatino Linotype" w:hAnsi="Palatino Linotype" w:cs="Tahoma"/>
          <w:sz w:val="22"/>
          <w:szCs w:val="24"/>
        </w:rPr>
        <w:t xml:space="preserve"> de febrero de dos mil diecinueve</w:t>
      </w:r>
      <w:r w:rsidR="000A45D9" w:rsidRPr="005B3636">
        <w:rPr>
          <w:rFonts w:ascii="Palatino Linotype" w:hAnsi="Palatino Linotype" w:cs="Tahoma"/>
          <w:sz w:val="22"/>
          <w:szCs w:val="24"/>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0A45D9" w:rsidRPr="00AF6580" w:rsidRDefault="000A45D9" w:rsidP="000A45D9">
      <w:pPr>
        <w:spacing w:line="360" w:lineRule="auto"/>
        <w:jc w:val="both"/>
        <w:rPr>
          <w:rFonts w:ascii="Palatino Linotype" w:hAnsi="Palatino Linotype" w:cs="Tahoma"/>
          <w:sz w:val="22"/>
          <w:szCs w:val="22"/>
        </w:rPr>
      </w:pPr>
    </w:p>
    <w:p w:rsidR="000A45D9" w:rsidRDefault="000A45D9" w:rsidP="000A45D9">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razón de que fue debidamente sustanciado el expediente electrónico y no existe diligencia pendiente de desahogo, se emite la </w:t>
      </w:r>
      <w:r>
        <w:rPr>
          <w:rFonts w:ascii="Palatino Linotype" w:hAnsi="Palatino Linotype" w:cs="Tahoma"/>
          <w:color w:val="000000"/>
          <w:sz w:val="22"/>
          <w:szCs w:val="22"/>
        </w:rPr>
        <w:t>R</w:t>
      </w:r>
      <w:r w:rsidRPr="00AF6580">
        <w:rPr>
          <w:rFonts w:ascii="Palatino Linotype" w:hAnsi="Palatino Linotype" w:cs="Tahoma"/>
          <w:color w:val="000000"/>
          <w:sz w:val="22"/>
          <w:szCs w:val="22"/>
        </w:rPr>
        <w:t>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rsidR="00C36BF2" w:rsidRDefault="00C36BF2" w:rsidP="00D9652C">
      <w:pPr>
        <w:spacing w:line="360" w:lineRule="auto"/>
        <w:jc w:val="both"/>
        <w:rPr>
          <w:rFonts w:ascii="Palatino Linotype" w:eastAsia="Calibri" w:hAnsi="Palatino Linotype" w:cs="Tahoma"/>
          <w:b/>
          <w:bCs/>
          <w:sz w:val="22"/>
          <w:szCs w:val="22"/>
          <w:lang w:val="es-ES" w:eastAsia="en-US"/>
        </w:rPr>
      </w:pPr>
    </w:p>
    <w:p w:rsidR="00F91CC8" w:rsidRDefault="00F91CC8" w:rsidP="00854E77">
      <w:pPr>
        <w:spacing w:line="360" w:lineRule="auto"/>
        <w:jc w:val="center"/>
        <w:rPr>
          <w:rFonts w:ascii="Palatino Linotype" w:eastAsia="Calibri" w:hAnsi="Palatino Linotype" w:cs="Tahoma"/>
          <w:b/>
          <w:bCs/>
          <w:sz w:val="22"/>
          <w:szCs w:val="22"/>
          <w:lang w:val="es-ES" w:eastAsia="en-US"/>
        </w:rPr>
      </w:pPr>
    </w:p>
    <w:p w:rsidR="00806E45" w:rsidRPr="00054E79" w:rsidRDefault="00285B21" w:rsidP="00854E77">
      <w:pPr>
        <w:spacing w:line="360" w:lineRule="auto"/>
        <w:jc w:val="center"/>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CONSIDERANDOS</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285B21"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PRIMERO</w:t>
      </w:r>
      <w:r w:rsidR="00806E45" w:rsidRPr="00054E79">
        <w:rPr>
          <w:rFonts w:ascii="Palatino Linotype" w:eastAsia="Calibri" w:hAnsi="Palatino Linotype" w:cs="Tahoma"/>
          <w:b/>
          <w:bCs/>
          <w:sz w:val="22"/>
          <w:szCs w:val="22"/>
          <w:lang w:val="es-ES" w:eastAsia="en-US"/>
        </w:rPr>
        <w:t xml:space="preserve">. Competencia.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5877EC">
        <w:rPr>
          <w:rFonts w:ascii="Palatino Linotype" w:eastAsia="Calibri" w:hAnsi="Palatino Linotype" w:cs="Tahoma"/>
          <w:bCs/>
          <w:sz w:val="22"/>
          <w:szCs w:val="22"/>
          <w:lang w:val="es-ES" w:eastAsia="en-US"/>
        </w:rPr>
        <w:t>R</w:t>
      </w:r>
      <w:r w:rsidRPr="00054E79">
        <w:rPr>
          <w:rFonts w:ascii="Palatino Linotype" w:eastAsia="Calibri" w:hAnsi="Palatino Linotype" w:cs="Tahoma"/>
          <w:bCs/>
          <w:sz w:val="22"/>
          <w:szCs w:val="22"/>
          <w:lang w:val="es-ES" w:eastAsia="en-US"/>
        </w:rPr>
        <w:t>ecurrente, conforme a lo dispuesto en los artículos 6</w:t>
      </w:r>
      <w:r w:rsidR="00DC766B">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apartado A de la Constitución Política de los Estados Unidos Mexicanos; 5</w:t>
      </w:r>
      <w:r w:rsidR="00FA5EF4">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párrafos vigésimo, vigésimo primero y vigésimo segundo, fracciones I, II, III, IV y V de la Constitución Política del Estado Libre y Soberano de México; 1°, 8°, 9°, 10, 37 y 42, fracciones </w:t>
      </w:r>
      <w:r w:rsidRPr="00054E79">
        <w:rPr>
          <w:rFonts w:ascii="Palatino Linotype" w:eastAsia="Calibri" w:hAnsi="Palatino Linotype" w:cs="Tahoma"/>
          <w:bCs/>
          <w:sz w:val="22"/>
          <w:szCs w:val="22"/>
          <w:lang w:val="es-ES" w:eastAsia="en-US"/>
        </w:rPr>
        <w:lastRenderedPageBreak/>
        <w:t>I, II y III, de la Ley General de Transparencia y Acceso a la Información Pública; 1°, 2°, fracciones II y IV; 13,  29, 36, fracciones I y II; 176, 178, 179, 181 párrafo tercero, 185, 188 y 189 de la Ley Transparencia y Acceso a la Información Pública del</w:t>
      </w:r>
      <w:r w:rsidR="00DC766B">
        <w:rPr>
          <w:rFonts w:ascii="Palatino Linotype" w:eastAsia="Calibri" w:hAnsi="Palatino Linotype" w:cs="Tahoma"/>
          <w:bCs/>
          <w:sz w:val="22"/>
          <w:szCs w:val="22"/>
          <w:lang w:val="es-ES" w:eastAsia="en-US"/>
        </w:rPr>
        <w:t xml:space="preserve"> Estado de México y Municipios; 7</w:t>
      </w:r>
      <w:r w:rsidR="007A31C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9</w:t>
      </w:r>
      <w:r w:rsidR="007A31C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fracciones I y XXIV y 11 del Reglamento Interior del Instituto de Transparencia, Acceso a la Información Pública y Protección de Datos Personales del Estado de México y Municipios.</w:t>
      </w:r>
    </w:p>
    <w:p w:rsidR="00E14084" w:rsidRDefault="00E14084" w:rsidP="00D9652C">
      <w:pPr>
        <w:spacing w:line="360" w:lineRule="auto"/>
        <w:jc w:val="both"/>
        <w:rPr>
          <w:rFonts w:ascii="Palatino Linotype" w:eastAsia="Calibri" w:hAnsi="Palatino Linotype" w:cs="Tahoma"/>
          <w:bCs/>
          <w:sz w:val="22"/>
          <w:szCs w:val="22"/>
          <w:lang w:val="es-ES_tradnl" w:eastAsia="en-US"/>
        </w:rPr>
      </w:pPr>
    </w:p>
    <w:p w:rsidR="005877EC" w:rsidRDefault="005877EC" w:rsidP="005877E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726E87">
        <w:rPr>
          <w:rFonts w:ascii="Palatino Linotype" w:eastAsia="Calibri" w:hAnsi="Palatino Linotype" w:cs="Tahoma"/>
          <w:b/>
          <w:color w:val="000000"/>
          <w:sz w:val="22"/>
          <w:szCs w:val="22"/>
          <w:lang w:eastAsia="es-MX"/>
        </w:rPr>
        <w:t>Metodología de estudio.</w:t>
      </w:r>
    </w:p>
    <w:p w:rsidR="005877EC" w:rsidRDefault="005877EC" w:rsidP="005877E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rsidR="005877EC" w:rsidRDefault="005877EC" w:rsidP="005877EC">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De las constancias que forma</w:t>
      </w:r>
      <w:r>
        <w:rPr>
          <w:rFonts w:ascii="Palatino Linotype" w:hAnsi="Palatino Linotype" w:cs="Tahoma"/>
          <w:sz w:val="22"/>
          <w:szCs w:val="24"/>
        </w:rPr>
        <w:t>n</w:t>
      </w:r>
      <w:r w:rsidRPr="005B3636">
        <w:rPr>
          <w:rFonts w:ascii="Palatino Linotype" w:hAnsi="Palatino Linotype" w:cs="Tahoma"/>
          <w:sz w:val="22"/>
          <w:szCs w:val="24"/>
        </w:rPr>
        <w:t xml:space="preserve"> parte </w:t>
      </w:r>
      <w:r>
        <w:rPr>
          <w:rFonts w:ascii="Palatino Linotype" w:hAnsi="Palatino Linotype" w:cs="Tahoma"/>
          <w:sz w:val="22"/>
          <w:szCs w:val="24"/>
        </w:rPr>
        <w:t>del</w:t>
      </w:r>
      <w:r w:rsidRPr="005B3636">
        <w:rPr>
          <w:rFonts w:ascii="Palatino Linotype" w:hAnsi="Palatino Linotype" w:cs="Tahoma"/>
          <w:sz w:val="22"/>
          <w:szCs w:val="24"/>
        </w:rPr>
        <w:t xml:space="preserve"> Recurso de Revisión que se analiza, se advierte que previo al estudio del fondo de la </w:t>
      </w:r>
      <w:r w:rsidRPr="005B3636">
        <w:rPr>
          <w:rFonts w:ascii="Palatino Linotype" w:hAnsi="Palatino Linotype" w:cs="Tahoma"/>
          <w:i/>
          <w:sz w:val="22"/>
          <w:szCs w:val="24"/>
        </w:rPr>
        <w:t>litis</w:t>
      </w:r>
      <w:r w:rsidRPr="005B3636">
        <w:rPr>
          <w:rFonts w:ascii="Palatino Linotype" w:hAnsi="Palatino Linotype" w:cs="Tahoma"/>
          <w:sz w:val="22"/>
          <w:szCs w:val="24"/>
        </w:rPr>
        <w:t>, es necesario estudiar las causales de improcedencia y sobreseimiento, para determinar lo que en Derecho proceda.</w:t>
      </w:r>
    </w:p>
    <w:p w:rsidR="005877EC" w:rsidRDefault="005877EC" w:rsidP="005877EC">
      <w:pPr>
        <w:autoSpaceDE w:val="0"/>
        <w:autoSpaceDN w:val="0"/>
        <w:adjustRightInd w:val="0"/>
        <w:spacing w:line="360" w:lineRule="auto"/>
        <w:jc w:val="both"/>
        <w:rPr>
          <w:rFonts w:ascii="Palatino Linotype" w:hAnsi="Palatino Linotype" w:cs="Tahoma"/>
          <w:sz w:val="22"/>
          <w:szCs w:val="24"/>
        </w:rPr>
      </w:pPr>
    </w:p>
    <w:p w:rsidR="005877EC" w:rsidRPr="00AF6580" w:rsidRDefault="005877EC" w:rsidP="005877E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Causales de improcedencia.</w:t>
      </w:r>
      <w:r w:rsidRPr="00AF6580">
        <w:rPr>
          <w:rFonts w:ascii="Palatino Linotype" w:eastAsia="Calibri" w:hAnsi="Palatino Linotype" w:cs="Tahoma"/>
          <w:color w:val="000000"/>
          <w:sz w:val="22"/>
          <w:szCs w:val="22"/>
          <w:lang w:eastAsia="es-MX"/>
        </w:rPr>
        <w:t xml:space="preserve"> </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4B22D5"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w:t>
      </w:r>
      <w:r w:rsidR="004B22D5">
        <w:rPr>
          <w:rFonts w:ascii="Palatino Linotype" w:eastAsia="Calibri" w:hAnsi="Palatino Linotype" w:cs="Tahoma"/>
          <w:color w:val="000000"/>
          <w:sz w:val="22"/>
          <w:szCs w:val="22"/>
          <w:lang w:eastAsia="es-MX"/>
        </w:rPr>
        <w:t>lico.</w:t>
      </w:r>
    </w:p>
    <w:p w:rsidR="004B22D5" w:rsidRDefault="004B22D5"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FA5EF4" w:rsidRPr="00AF6580" w:rsidRDefault="004B22D5"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D</w:t>
      </w:r>
      <w:r w:rsidR="00FA5EF4" w:rsidRPr="00AF6580">
        <w:rPr>
          <w:rFonts w:ascii="Palatino Linotype" w:eastAsia="Calibri" w:hAnsi="Palatino Linotype" w:cs="Tahoma"/>
          <w:color w:val="000000"/>
          <w:sz w:val="22"/>
          <w:szCs w:val="22"/>
          <w:lang w:eastAsia="es-MX"/>
        </w:rPr>
        <w:t>e tal suerte, deberá ser desechado cualquier Recurso de Revisión que actualice alguno de los supuestos establecidos en el artículo 191 de la Ley de Transparencia y Acceso a la Información Pública del Estado de México y Municipios, por ser improcedente.</w:t>
      </w:r>
    </w:p>
    <w:p w:rsidR="00FA5EF4" w:rsidRPr="00AF6580"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4B22D5" w:rsidRDefault="00FA5EF4" w:rsidP="004B22D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 xml:space="preserve">En el presente caso, </w:t>
      </w:r>
      <w:r w:rsidRPr="004B22D5">
        <w:rPr>
          <w:rFonts w:ascii="Palatino Linotype" w:eastAsia="Calibri" w:hAnsi="Palatino Linotype" w:cs="Tahoma"/>
          <w:b/>
          <w:color w:val="000000"/>
          <w:sz w:val="22"/>
          <w:szCs w:val="22"/>
          <w:lang w:eastAsia="es-MX"/>
        </w:rPr>
        <w:t>no se actualiza ninguna de las causales de improcedencia</w:t>
      </w:r>
      <w:r w:rsidRPr="00AF6580">
        <w:rPr>
          <w:rFonts w:ascii="Palatino Linotype" w:eastAsia="Calibri" w:hAnsi="Palatino Linotype" w:cs="Tahoma"/>
          <w:color w:val="000000"/>
          <w:sz w:val="22"/>
          <w:szCs w:val="22"/>
          <w:lang w:eastAsia="es-MX"/>
        </w:rPr>
        <w:t xml:space="preserve"> establecidas en el ordenamiento jurídico previamente señalado</w:t>
      </w:r>
      <w:r w:rsidR="004B22D5" w:rsidRPr="004B22D5">
        <w:rPr>
          <w:rFonts w:ascii="Palatino Linotype" w:eastAsia="Calibri" w:hAnsi="Palatino Linotype" w:cs="Tahoma"/>
          <w:color w:val="000000"/>
          <w:sz w:val="22"/>
          <w:szCs w:val="22"/>
          <w:lang w:eastAsia="es-MX"/>
        </w:rPr>
        <w:t xml:space="preserve"> </w:t>
      </w:r>
      <w:r w:rsidR="004B22D5">
        <w:rPr>
          <w:rFonts w:ascii="Palatino Linotype" w:eastAsia="Calibri" w:hAnsi="Palatino Linotype" w:cs="Tahoma"/>
          <w:color w:val="000000"/>
          <w:sz w:val="22"/>
          <w:szCs w:val="22"/>
          <w:lang w:eastAsia="es-MX"/>
        </w:rPr>
        <w:t>toda vez que</w:t>
      </w:r>
      <w:r w:rsidR="004B22D5" w:rsidRPr="00AF6580">
        <w:rPr>
          <w:rFonts w:ascii="Palatino Linotype" w:eastAsia="Calibri" w:hAnsi="Palatino Linotype" w:cs="Tahoma"/>
          <w:color w:val="000000"/>
          <w:sz w:val="22"/>
          <w:szCs w:val="22"/>
          <w:lang w:eastAsia="es-MX"/>
        </w:rPr>
        <w:t xml:space="preserve"> este Instituto no tiene conocimiento de que se encuentre en trámite algún medi</w:t>
      </w:r>
      <w:r w:rsidR="004B22D5">
        <w:rPr>
          <w:rFonts w:ascii="Palatino Linotype" w:eastAsia="Calibri" w:hAnsi="Palatino Linotype" w:cs="Tahoma"/>
          <w:color w:val="000000"/>
          <w:sz w:val="22"/>
          <w:szCs w:val="22"/>
          <w:lang w:eastAsia="es-MX"/>
        </w:rPr>
        <w:t>o de defensa presentado por el R</w:t>
      </w:r>
      <w:r w:rsidR="004B22D5" w:rsidRPr="00AF6580">
        <w:rPr>
          <w:rFonts w:ascii="Palatino Linotype" w:eastAsia="Calibri" w:hAnsi="Palatino Linotype" w:cs="Tahoma"/>
          <w:color w:val="000000"/>
          <w:sz w:val="22"/>
          <w:szCs w:val="22"/>
          <w:lang w:eastAsia="es-MX"/>
        </w:rPr>
        <w:t>ecurrente ante otra instancia; no existió prevención alguna; la veracidad de la respuest</w:t>
      </w:r>
      <w:r w:rsidR="004B22D5">
        <w:rPr>
          <w:rFonts w:ascii="Palatino Linotype" w:eastAsia="Calibri" w:hAnsi="Palatino Linotype" w:cs="Tahoma"/>
          <w:color w:val="000000"/>
          <w:sz w:val="22"/>
          <w:szCs w:val="22"/>
          <w:lang w:eastAsia="es-MX"/>
        </w:rPr>
        <w:t>a no formó parte del agravio; no</w:t>
      </w:r>
      <w:r w:rsidR="004B22D5" w:rsidRPr="00AF6580">
        <w:rPr>
          <w:rFonts w:ascii="Palatino Linotype" w:eastAsia="Calibri" w:hAnsi="Palatino Linotype" w:cs="Tahoma"/>
          <w:color w:val="000000"/>
          <w:sz w:val="22"/>
          <w:szCs w:val="22"/>
          <w:lang w:eastAsia="es-MX"/>
        </w:rPr>
        <w:t xml:space="preserve"> se realizó una consulta o ampliación a los alcance</w:t>
      </w:r>
      <w:r w:rsidR="004B22D5">
        <w:rPr>
          <w:rFonts w:ascii="Palatino Linotype" w:eastAsia="Calibri" w:hAnsi="Palatino Linotype" w:cs="Tahoma"/>
          <w:color w:val="000000"/>
          <w:sz w:val="22"/>
          <w:szCs w:val="22"/>
          <w:lang w:eastAsia="es-MX"/>
        </w:rPr>
        <w:t xml:space="preserve">s del requerimiento informativo, aunado a que </w:t>
      </w:r>
      <w:r w:rsidR="004B22D5" w:rsidRPr="00264223">
        <w:rPr>
          <w:rFonts w:ascii="Palatino Linotype" w:eastAsia="Calibri" w:hAnsi="Palatino Linotype" w:cs="Tahoma"/>
          <w:color w:val="000000"/>
          <w:sz w:val="22"/>
          <w:szCs w:val="22"/>
          <w:lang w:eastAsia="es-MX"/>
        </w:rPr>
        <w:t>el medio de impugnación fue presenta</w:t>
      </w:r>
      <w:r w:rsidR="004B22D5">
        <w:rPr>
          <w:rFonts w:ascii="Palatino Linotype" w:eastAsia="Calibri" w:hAnsi="Palatino Linotype" w:cs="Tahoma"/>
          <w:color w:val="000000"/>
          <w:sz w:val="22"/>
          <w:szCs w:val="22"/>
          <w:lang w:eastAsia="es-MX"/>
        </w:rPr>
        <w:t>do</w:t>
      </w:r>
      <w:r w:rsidR="004B22D5" w:rsidRPr="00264223">
        <w:rPr>
          <w:rFonts w:ascii="Palatino Linotype" w:eastAsia="Calibri" w:hAnsi="Palatino Linotype" w:cs="Tahoma"/>
          <w:color w:val="000000"/>
          <w:sz w:val="22"/>
          <w:szCs w:val="22"/>
          <w:lang w:eastAsia="es-MX"/>
        </w:rPr>
        <w:t xml:space="preserve"> en tiempo</w:t>
      </w:r>
      <w:r w:rsidR="004B22D5">
        <w:rPr>
          <w:rFonts w:ascii="Palatino Linotype" w:eastAsia="Calibri" w:hAnsi="Palatino Linotype" w:cs="Tahoma"/>
          <w:color w:val="000000"/>
          <w:sz w:val="22"/>
          <w:szCs w:val="22"/>
          <w:lang w:eastAsia="es-MX"/>
        </w:rPr>
        <w:t>.</w:t>
      </w:r>
    </w:p>
    <w:p w:rsidR="004B22D5" w:rsidRPr="00AF6580" w:rsidRDefault="004B22D5" w:rsidP="004B22D5">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4B22D5" w:rsidRDefault="004B22D5" w:rsidP="004B22D5">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Asimismo</w:t>
      </w:r>
      <w:r w:rsidRPr="00AF6580">
        <w:rPr>
          <w:rFonts w:ascii="Palatino Linotype" w:eastAsia="Calibri" w:hAnsi="Palatino Linotype" w:cs="Tahoma"/>
          <w:color w:val="000000"/>
          <w:sz w:val="22"/>
          <w:szCs w:val="22"/>
          <w:lang w:eastAsia="es-MX"/>
        </w:rPr>
        <w:t xml:space="preserve">, se actualiza la causal de procedencia señalada en el artículo 179, fracción </w:t>
      </w:r>
      <w:r>
        <w:rPr>
          <w:rFonts w:ascii="Palatino Linotype" w:eastAsia="Calibri" w:hAnsi="Palatino Linotype" w:cs="Tahoma"/>
          <w:color w:val="000000"/>
          <w:sz w:val="22"/>
          <w:szCs w:val="22"/>
          <w:lang w:eastAsia="es-MX"/>
        </w:rPr>
        <w:t>I</w:t>
      </w:r>
      <w:r w:rsidRPr="00AF6580">
        <w:rPr>
          <w:rFonts w:ascii="Palatino Linotype" w:eastAsia="Calibri" w:hAnsi="Palatino Linotype" w:cs="Tahoma"/>
          <w:color w:val="000000"/>
          <w:sz w:val="22"/>
          <w:szCs w:val="22"/>
          <w:lang w:eastAsia="es-MX"/>
        </w:rPr>
        <w:t>, de la Ley de la materia, toda vez q</w:t>
      </w:r>
      <w:r>
        <w:rPr>
          <w:rFonts w:ascii="Palatino Linotype" w:eastAsia="Calibri" w:hAnsi="Palatino Linotype" w:cs="Tahoma"/>
          <w:color w:val="000000"/>
          <w:sz w:val="22"/>
          <w:szCs w:val="22"/>
          <w:lang w:eastAsia="es-MX"/>
        </w:rPr>
        <w:t>ue el solicitante se inconformó por</w:t>
      </w:r>
      <w:r w:rsidRPr="00AF6580">
        <w:rPr>
          <w:rFonts w:ascii="Palatino Linotype" w:eastAsia="Calibri" w:hAnsi="Palatino Linotype" w:cs="Tahoma"/>
          <w:color w:val="000000"/>
          <w:sz w:val="22"/>
          <w:szCs w:val="22"/>
          <w:lang w:eastAsia="es-MX"/>
        </w:rPr>
        <w:t xml:space="preserve"> la </w:t>
      </w:r>
      <w:r>
        <w:rPr>
          <w:rFonts w:ascii="Palatino Linotype" w:eastAsia="Calibri" w:hAnsi="Palatino Linotype" w:cs="Tahoma"/>
          <w:color w:val="000000"/>
          <w:sz w:val="22"/>
          <w:szCs w:val="22"/>
          <w:lang w:eastAsia="es-MX"/>
        </w:rPr>
        <w:t>negativa a la información solicitada.</w:t>
      </w:r>
    </w:p>
    <w:p w:rsidR="00806ECB" w:rsidRDefault="00806ECB" w:rsidP="004B22D5">
      <w:pPr>
        <w:autoSpaceDE w:val="0"/>
        <w:autoSpaceDN w:val="0"/>
        <w:adjustRightInd w:val="0"/>
        <w:spacing w:line="360" w:lineRule="auto"/>
        <w:jc w:val="both"/>
        <w:rPr>
          <w:rFonts w:ascii="Palatino Linotype" w:eastAsia="Calibri" w:hAnsi="Palatino Linotype" w:cs="Tahoma"/>
          <w:bCs/>
          <w:sz w:val="22"/>
          <w:szCs w:val="22"/>
          <w:lang w:val="es-ES" w:eastAsia="en-US"/>
        </w:rPr>
      </w:pPr>
    </w:p>
    <w:p w:rsidR="0038319E" w:rsidRPr="00054E79" w:rsidRDefault="0038319E" w:rsidP="007731B5">
      <w:pPr>
        <w:pStyle w:val="Prrafodelista"/>
        <w:numPr>
          <w:ilvl w:val="0"/>
          <w:numId w:val="2"/>
        </w:numPr>
        <w:spacing w:line="360" w:lineRule="auto"/>
        <w:jc w:val="both"/>
        <w:rPr>
          <w:rFonts w:ascii="Palatino Linotype" w:eastAsia="Calibri" w:hAnsi="Palatino Linotype" w:cs="Tahoma"/>
          <w:bCs/>
          <w:szCs w:val="22"/>
          <w:lang w:val="es-ES" w:eastAsia="en-US"/>
        </w:rPr>
      </w:pPr>
      <w:r w:rsidRPr="00054E79">
        <w:rPr>
          <w:rFonts w:ascii="Palatino Linotype" w:eastAsia="Calibri" w:hAnsi="Palatino Linotype" w:cs="Tahoma"/>
          <w:b/>
          <w:bCs/>
          <w:szCs w:val="22"/>
          <w:lang w:val="es-ES" w:eastAsia="en-US"/>
        </w:rPr>
        <w:t>Causales de sobreseimiento</w:t>
      </w:r>
      <w:r w:rsidRPr="00054E79">
        <w:rPr>
          <w:rFonts w:ascii="Palatino Linotype" w:eastAsia="Calibri" w:hAnsi="Palatino Linotype" w:cs="Tahoma"/>
          <w:bCs/>
          <w:szCs w:val="22"/>
          <w:lang w:val="es-ES" w:eastAsia="en-US"/>
        </w:rPr>
        <w:t>.</w:t>
      </w:r>
    </w:p>
    <w:p w:rsidR="00806E45" w:rsidRPr="00054E79" w:rsidRDefault="00806E45" w:rsidP="007731B5">
      <w:pPr>
        <w:spacing w:line="360" w:lineRule="auto"/>
        <w:jc w:val="both"/>
        <w:rPr>
          <w:rFonts w:ascii="Palatino Linotype" w:eastAsia="Calibri" w:hAnsi="Palatino Linotype" w:cs="Tahoma"/>
          <w:bCs/>
          <w:sz w:val="22"/>
          <w:szCs w:val="22"/>
          <w:lang w:val="es-ES" w:eastAsia="en-US"/>
        </w:rPr>
      </w:pPr>
    </w:p>
    <w:p w:rsidR="000B3A37" w:rsidRPr="00AF6580" w:rsidRDefault="000B3A37" w:rsidP="000B3A37">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0B3A37" w:rsidRPr="00AF6580" w:rsidRDefault="000B3A37" w:rsidP="000B3A37">
      <w:pPr>
        <w:spacing w:line="360" w:lineRule="auto"/>
        <w:jc w:val="both"/>
        <w:rPr>
          <w:rFonts w:ascii="Palatino Linotype" w:eastAsia="Calibri" w:hAnsi="Palatino Linotype" w:cs="Tahoma"/>
          <w:bCs/>
          <w:color w:val="000000"/>
          <w:sz w:val="22"/>
          <w:szCs w:val="22"/>
          <w:lang w:eastAsia="es-ES_tradnl"/>
        </w:rPr>
      </w:pPr>
    </w:p>
    <w:p w:rsidR="000B3A37" w:rsidRPr="00AF6580" w:rsidRDefault="000B3A37" w:rsidP="000B3A37">
      <w:pPr>
        <w:numPr>
          <w:ilvl w:val="0"/>
          <w:numId w:val="1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rsidR="000B3A37" w:rsidRPr="00AF6580" w:rsidRDefault="000B3A37" w:rsidP="000B3A37">
      <w:pPr>
        <w:numPr>
          <w:ilvl w:val="0"/>
          <w:numId w:val="1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 xml:space="preserve">El recurrente fallezca o, tratándose de personas </w:t>
      </w:r>
      <w:r>
        <w:rPr>
          <w:rFonts w:ascii="Palatino Linotype" w:eastAsia="Calibri" w:hAnsi="Palatino Linotype" w:cs="Tahoma"/>
          <w:bCs/>
          <w:color w:val="000000"/>
          <w:sz w:val="22"/>
          <w:szCs w:val="22"/>
          <w:lang w:eastAsia="es-ES_tradnl"/>
        </w:rPr>
        <w:t>jurídicas colectivas,</w:t>
      </w:r>
      <w:r w:rsidRPr="00AF6580">
        <w:rPr>
          <w:rFonts w:ascii="Palatino Linotype" w:eastAsia="Calibri" w:hAnsi="Palatino Linotype" w:cs="Tahoma"/>
          <w:bCs/>
          <w:color w:val="000000"/>
          <w:sz w:val="22"/>
          <w:szCs w:val="22"/>
          <w:lang w:eastAsia="es-ES_tradnl"/>
        </w:rPr>
        <w:t xml:space="preserve"> se disuelva;</w:t>
      </w:r>
    </w:p>
    <w:p w:rsidR="000B3A37" w:rsidRPr="00AF6580" w:rsidRDefault="000B3A37" w:rsidP="000B3A37">
      <w:pPr>
        <w:numPr>
          <w:ilvl w:val="0"/>
          <w:numId w:val="1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rsidR="000B3A37" w:rsidRPr="00AF6580" w:rsidRDefault="000B3A37" w:rsidP="000B3A37">
      <w:pPr>
        <w:numPr>
          <w:ilvl w:val="0"/>
          <w:numId w:val="1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rsidR="000B3A37" w:rsidRPr="00AF6580" w:rsidRDefault="000B3A37" w:rsidP="000B3A37">
      <w:pPr>
        <w:numPr>
          <w:ilvl w:val="0"/>
          <w:numId w:val="19"/>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rsidR="000B3A37" w:rsidRPr="00AF6580" w:rsidRDefault="000B3A37" w:rsidP="000B3A37">
      <w:pPr>
        <w:spacing w:line="360" w:lineRule="auto"/>
        <w:jc w:val="both"/>
        <w:rPr>
          <w:rFonts w:ascii="Palatino Linotype" w:eastAsia="Calibri" w:hAnsi="Palatino Linotype" w:cs="Tahoma"/>
          <w:bCs/>
          <w:color w:val="000000"/>
          <w:sz w:val="22"/>
          <w:szCs w:val="22"/>
          <w:lang w:eastAsia="es-ES_tradnl"/>
        </w:rPr>
      </w:pPr>
    </w:p>
    <w:p w:rsidR="000B3A37" w:rsidRDefault="000B3A37" w:rsidP="000B3A37">
      <w:pPr>
        <w:spacing w:line="360" w:lineRule="auto"/>
        <w:jc w:val="both"/>
        <w:rPr>
          <w:rFonts w:ascii="Palatino Linotype" w:hAnsi="Palatino Linotype" w:cs="Tahoma"/>
          <w:sz w:val="22"/>
          <w:szCs w:val="22"/>
        </w:rPr>
      </w:pPr>
      <w:r w:rsidRPr="00AF6580">
        <w:rPr>
          <w:rFonts w:ascii="Palatino Linotype" w:hAnsi="Palatino Linotype" w:cs="Tahoma"/>
          <w:sz w:val="22"/>
          <w:szCs w:val="22"/>
        </w:rPr>
        <w:lastRenderedPageBreak/>
        <w:t>Sin embargo, de los autos que corren agregados al expediente en el que se actúa, no fue posible advertir que el recurrente se hubiera desistido, que hubiera falleci</w:t>
      </w:r>
      <w:r>
        <w:rPr>
          <w:rFonts w:ascii="Palatino Linotype" w:hAnsi="Palatino Linotype" w:cs="Tahoma"/>
          <w:sz w:val="22"/>
          <w:szCs w:val="22"/>
        </w:rPr>
        <w:t xml:space="preserve">do, que el Sujeto Obligado modificara la respuesta </w:t>
      </w:r>
      <w:r w:rsidRPr="00AF6580">
        <w:rPr>
          <w:rFonts w:ascii="Palatino Linotype" w:hAnsi="Palatino Linotype" w:cs="Tahoma"/>
          <w:sz w:val="22"/>
          <w:szCs w:val="22"/>
        </w:rPr>
        <w:t xml:space="preserve">o que hubiera aparecido una causal de improcedencia durante el trámite del presente recurso. </w:t>
      </w:r>
    </w:p>
    <w:p w:rsidR="000B3A37" w:rsidRPr="00AF6580" w:rsidRDefault="000B3A37" w:rsidP="000B3A37">
      <w:pPr>
        <w:spacing w:line="360" w:lineRule="auto"/>
        <w:jc w:val="both"/>
        <w:rPr>
          <w:rFonts w:ascii="Palatino Linotype" w:hAnsi="Palatino Linotype" w:cs="Tahoma"/>
          <w:sz w:val="22"/>
          <w:szCs w:val="22"/>
        </w:rPr>
      </w:pPr>
    </w:p>
    <w:p w:rsidR="000B3A37" w:rsidRPr="008A3F26" w:rsidRDefault="000B3A37" w:rsidP="000B3A37">
      <w:pPr>
        <w:spacing w:line="360" w:lineRule="auto"/>
        <w:jc w:val="both"/>
        <w:rPr>
          <w:rFonts w:ascii="Palatino Linotype" w:eastAsia="Calibri" w:hAnsi="Palatino Linotype" w:cs="Tahoma"/>
          <w:bCs/>
          <w:i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w:t>
      </w:r>
      <w:r>
        <w:rPr>
          <w:rFonts w:ascii="Palatino Linotype" w:hAnsi="Palatino Linotype" w:cs="Tahoma"/>
          <w:sz w:val="22"/>
          <w:szCs w:val="22"/>
        </w:rPr>
        <w:t>V,</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sidR="009A7F66">
        <w:rPr>
          <w:rFonts w:ascii="Palatino Linotype" w:hAnsi="Palatino Linotype" w:cs="Tahoma"/>
          <w:sz w:val="22"/>
          <w:szCs w:val="22"/>
        </w:rPr>
        <w:t>R</w:t>
      </w:r>
      <w:r w:rsidR="009A7F66" w:rsidRPr="00AF6580">
        <w:rPr>
          <w:rFonts w:ascii="Palatino Linotype" w:hAnsi="Palatino Linotype" w:cs="Tahoma"/>
          <w:sz w:val="22"/>
          <w:szCs w:val="22"/>
        </w:rPr>
        <w:t xml:space="preserve">ecurso </w:t>
      </w:r>
      <w:r w:rsidRPr="00AF6580">
        <w:rPr>
          <w:rFonts w:ascii="Palatino Linotype" w:hAnsi="Palatino Linotype" w:cs="Tahoma"/>
          <w:sz w:val="22"/>
          <w:szCs w:val="22"/>
        </w:rPr>
        <w:t xml:space="preserve">de </w:t>
      </w:r>
      <w:r w:rsidR="009A7F66">
        <w:rPr>
          <w:rFonts w:ascii="Palatino Linotype" w:hAnsi="Palatino Linotype" w:cs="Tahoma"/>
          <w:sz w:val="22"/>
          <w:szCs w:val="22"/>
        </w:rPr>
        <w:t>R</w:t>
      </w:r>
      <w:r w:rsidR="009A7F66" w:rsidRPr="00AF6580">
        <w:rPr>
          <w:rFonts w:ascii="Palatino Linotype" w:hAnsi="Palatino Linotype" w:cs="Tahoma"/>
          <w:sz w:val="22"/>
          <w:szCs w:val="22"/>
        </w:rPr>
        <w:t xml:space="preserve">evisión </w:t>
      </w:r>
      <w:r w:rsidRPr="00AF6580">
        <w:rPr>
          <w:rFonts w:ascii="Palatino Linotype" w:hAnsi="Palatino Linotype" w:cs="Tahoma"/>
          <w:sz w:val="22"/>
          <w:szCs w:val="22"/>
        </w:rPr>
        <w:t xml:space="preserve">será sobreseído cuando </w:t>
      </w:r>
      <w:r>
        <w:rPr>
          <w:rFonts w:ascii="Palatino Linotype" w:hAnsi="Palatino Linotype" w:cs="Tahoma"/>
          <w:b/>
          <w:sz w:val="22"/>
          <w:szCs w:val="22"/>
        </w:rPr>
        <w:t>por cualquier motivo el Recurso de Re</w:t>
      </w:r>
      <w:r>
        <w:rPr>
          <w:rFonts w:ascii="Palatino Linotype" w:eastAsia="Calibri" w:hAnsi="Palatino Linotype" w:cs="Tahoma"/>
          <w:b/>
          <w:bCs/>
          <w:color w:val="000000"/>
          <w:sz w:val="22"/>
          <w:szCs w:val="22"/>
          <w:lang w:eastAsia="es-ES_tradnl"/>
        </w:rPr>
        <w:t xml:space="preserve">visión </w:t>
      </w:r>
      <w:r w:rsidRPr="00AF6580">
        <w:rPr>
          <w:rFonts w:ascii="Palatino Linotype" w:eastAsia="Calibri" w:hAnsi="Palatino Linotype" w:cs="Tahoma"/>
          <w:b/>
          <w:bCs/>
          <w:color w:val="000000"/>
          <w:sz w:val="22"/>
          <w:szCs w:val="22"/>
          <w:lang w:eastAsia="es-ES_tradnl"/>
        </w:rPr>
        <w:t>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sidR="008A3F26">
        <w:rPr>
          <w:rFonts w:ascii="Palatino Linotype" w:eastAsia="Calibri" w:hAnsi="Palatino Linotype" w:cs="Tahoma"/>
          <w:bCs/>
          <w:color w:val="000000"/>
          <w:sz w:val="22"/>
          <w:szCs w:val="22"/>
          <w:lang w:eastAsia="es-ES_tradnl"/>
        </w:rPr>
        <w:t xml:space="preserve">informó </w:t>
      </w:r>
      <w:r w:rsidR="008A3F26" w:rsidRPr="008A3F26">
        <w:rPr>
          <w:rFonts w:ascii="Palatino Linotype" w:eastAsia="Calibri" w:hAnsi="Palatino Linotype" w:cs="Tahoma"/>
          <w:bCs/>
          <w:iCs/>
          <w:color w:val="000000"/>
          <w:sz w:val="22"/>
          <w:szCs w:val="22"/>
          <w:lang w:eastAsia="es-ES_tradnl"/>
        </w:rPr>
        <w:t xml:space="preserve">que el Decreto 317, de la H. LIX Legislatura del Estado de México, </w:t>
      </w:r>
      <w:r w:rsidR="009A7F66">
        <w:rPr>
          <w:rFonts w:ascii="Palatino Linotype" w:eastAsia="Calibri" w:hAnsi="Palatino Linotype" w:cs="Tahoma"/>
          <w:bCs/>
          <w:iCs/>
          <w:color w:val="000000"/>
          <w:sz w:val="22"/>
          <w:szCs w:val="22"/>
          <w:lang w:eastAsia="es-ES_tradnl"/>
        </w:rPr>
        <w:t xml:space="preserve">mediante el cual se aprobó la </w:t>
      </w:r>
      <w:r w:rsidR="009A7F66" w:rsidRPr="009A7F66">
        <w:rPr>
          <w:rFonts w:ascii="Palatino Linotype" w:eastAsia="Calibri" w:hAnsi="Palatino Linotype" w:cs="Tahoma"/>
          <w:bCs/>
          <w:iCs/>
          <w:color w:val="000000"/>
          <w:sz w:val="22"/>
          <w:szCs w:val="22"/>
          <w:lang w:eastAsia="es-ES_tradnl"/>
        </w:rPr>
        <w:t>Ley de Seguridad Social para los Servidores Públicos del Estado de México y Municipios</w:t>
      </w:r>
      <w:r w:rsidR="009A7F66">
        <w:rPr>
          <w:rFonts w:ascii="Palatino Linotype" w:eastAsia="Calibri" w:hAnsi="Palatino Linotype" w:cs="Tahoma"/>
          <w:bCs/>
          <w:iCs/>
          <w:color w:val="000000"/>
          <w:sz w:val="22"/>
          <w:szCs w:val="22"/>
          <w:lang w:eastAsia="es-ES_tradnl"/>
        </w:rPr>
        <w:t xml:space="preserve">, </w:t>
      </w:r>
      <w:r w:rsidR="008A3F26" w:rsidRPr="008A3F26">
        <w:rPr>
          <w:rFonts w:ascii="Palatino Linotype" w:eastAsia="Calibri" w:hAnsi="Palatino Linotype" w:cs="Tahoma"/>
          <w:bCs/>
          <w:iCs/>
          <w:color w:val="000000"/>
          <w:sz w:val="22"/>
          <w:szCs w:val="22"/>
          <w:lang w:eastAsia="es-ES_tradnl"/>
        </w:rPr>
        <w:t xml:space="preserve">fue derogado, </w:t>
      </w:r>
      <w:r w:rsidR="009A7F66">
        <w:rPr>
          <w:rFonts w:ascii="Palatino Linotype" w:eastAsia="Calibri" w:hAnsi="Palatino Linotype" w:cs="Tahoma"/>
          <w:bCs/>
          <w:iCs/>
          <w:color w:val="000000"/>
          <w:sz w:val="22"/>
          <w:szCs w:val="22"/>
          <w:lang w:eastAsia="es-ES_tradnl"/>
        </w:rPr>
        <w:t xml:space="preserve">por lo que constituye </w:t>
      </w:r>
      <w:r w:rsidR="008A3F26" w:rsidRPr="008A3F26">
        <w:rPr>
          <w:rFonts w:ascii="Palatino Linotype" w:eastAsia="Calibri" w:hAnsi="Palatino Linotype" w:cs="Tahoma"/>
          <w:bCs/>
          <w:iCs/>
          <w:color w:val="000000"/>
          <w:sz w:val="22"/>
          <w:szCs w:val="22"/>
          <w:lang w:eastAsia="es-ES_tradnl"/>
        </w:rPr>
        <w:t xml:space="preserve">un hecho notorio que la información para su implementación no podrá generarse, ni </w:t>
      </w:r>
      <w:r w:rsidR="008A3F26">
        <w:rPr>
          <w:rFonts w:ascii="Palatino Linotype" w:eastAsia="Calibri" w:hAnsi="Palatino Linotype" w:cs="Tahoma"/>
          <w:bCs/>
          <w:iCs/>
          <w:color w:val="000000"/>
          <w:sz w:val="22"/>
          <w:szCs w:val="22"/>
          <w:lang w:eastAsia="es-ES_tradnl"/>
        </w:rPr>
        <w:t>el Sujeto Obligado</w:t>
      </w:r>
      <w:r w:rsidR="008A3F26" w:rsidRPr="008A3F26">
        <w:rPr>
          <w:rFonts w:ascii="Palatino Linotype" w:eastAsia="Calibri" w:hAnsi="Palatino Linotype" w:cs="Tahoma"/>
          <w:bCs/>
          <w:iCs/>
          <w:color w:val="000000"/>
          <w:sz w:val="22"/>
          <w:szCs w:val="22"/>
          <w:lang w:eastAsia="es-ES_tradnl"/>
        </w:rPr>
        <w:t xml:space="preserve"> se encuentra </w:t>
      </w:r>
      <w:r w:rsidR="008A3F26">
        <w:rPr>
          <w:rFonts w:ascii="Palatino Linotype" w:eastAsia="Calibri" w:hAnsi="Palatino Linotype" w:cs="Tahoma"/>
          <w:bCs/>
          <w:iCs/>
          <w:color w:val="000000"/>
          <w:sz w:val="22"/>
          <w:szCs w:val="22"/>
          <w:lang w:eastAsia="es-ES_tradnl"/>
        </w:rPr>
        <w:t>constreñido</w:t>
      </w:r>
      <w:r w:rsidR="008A3F26" w:rsidRPr="008A3F26">
        <w:rPr>
          <w:rFonts w:ascii="Palatino Linotype" w:eastAsia="Calibri" w:hAnsi="Palatino Linotype" w:cs="Tahoma"/>
          <w:bCs/>
          <w:iCs/>
          <w:color w:val="000000"/>
          <w:sz w:val="22"/>
          <w:szCs w:val="22"/>
          <w:lang w:eastAsia="es-ES_tradnl"/>
        </w:rPr>
        <w:t xml:space="preserve"> a presentarla</w:t>
      </w:r>
      <w:r w:rsidRPr="00AF6580">
        <w:rPr>
          <w:rFonts w:ascii="Palatino Linotype" w:eastAsia="Calibri" w:hAnsi="Palatino Linotype" w:cs="Tahoma"/>
          <w:bCs/>
          <w:color w:val="000000"/>
          <w:sz w:val="22"/>
          <w:szCs w:val="22"/>
          <w:lang w:eastAsia="es-ES_tradnl"/>
        </w:rPr>
        <w:t>.</w:t>
      </w:r>
    </w:p>
    <w:p w:rsidR="000B3A37" w:rsidRPr="00AF6580" w:rsidRDefault="000B3A37" w:rsidP="000B3A37">
      <w:pPr>
        <w:spacing w:line="360" w:lineRule="auto"/>
        <w:jc w:val="both"/>
        <w:rPr>
          <w:rFonts w:ascii="Palatino Linotype" w:eastAsia="Calibri" w:hAnsi="Palatino Linotype" w:cs="Tahoma"/>
          <w:bCs/>
          <w:color w:val="000000"/>
          <w:sz w:val="22"/>
          <w:szCs w:val="22"/>
          <w:lang w:eastAsia="es-ES_tradnl"/>
        </w:rPr>
      </w:pPr>
    </w:p>
    <w:p w:rsidR="000B3A37" w:rsidRDefault="000B3A37" w:rsidP="000B3A37">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demostrar </w:t>
      </w:r>
      <w:r>
        <w:rPr>
          <w:rFonts w:ascii="Palatino Linotype" w:eastAsia="Calibri" w:hAnsi="Palatino Linotype" w:cs="Tahoma"/>
          <w:bCs/>
          <w:color w:val="000000"/>
          <w:sz w:val="22"/>
          <w:szCs w:val="22"/>
          <w:lang w:eastAsia="es-ES_tradnl"/>
        </w:rPr>
        <w:t>que</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se realizará la relatoría de las actuaciones efectuadas por las partes durante el procedimiento de acceso a la información pública</w:t>
      </w:r>
      <w:r w:rsidR="009A7F66">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rsidR="008A3F26" w:rsidRDefault="008A3F26" w:rsidP="000B3A37">
      <w:pPr>
        <w:spacing w:line="360" w:lineRule="auto"/>
        <w:jc w:val="both"/>
        <w:rPr>
          <w:rFonts w:ascii="Palatino Linotype" w:eastAsia="Calibri" w:hAnsi="Palatino Linotype" w:cs="Tahoma"/>
          <w:iCs/>
          <w:sz w:val="22"/>
          <w:szCs w:val="22"/>
          <w:lang w:eastAsia="es-ES_tradnl"/>
        </w:rPr>
      </w:pPr>
    </w:p>
    <w:p w:rsidR="008A3F26" w:rsidRPr="00AF6580" w:rsidRDefault="008A3F26" w:rsidP="008A3F26">
      <w:pPr>
        <w:tabs>
          <w:tab w:val="left" w:pos="4962"/>
        </w:tabs>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 xml:space="preserve">l particular solicitó al </w:t>
      </w:r>
      <w:r w:rsidRPr="008A3F26">
        <w:rPr>
          <w:rFonts w:ascii="Palatino Linotype" w:eastAsia="Calibri" w:hAnsi="Palatino Linotype" w:cs="Tahoma"/>
          <w:iCs/>
          <w:sz w:val="22"/>
          <w:szCs w:val="22"/>
          <w:lang w:eastAsia="es-ES_tradnl"/>
        </w:rPr>
        <w:t>Instituto de Seguridad Social del Estado de México y Municipios</w:t>
      </w:r>
      <w:r>
        <w:rPr>
          <w:rFonts w:ascii="Palatino Linotype" w:eastAsia="Calibri" w:hAnsi="Palatino Linotype" w:cs="Tahoma"/>
          <w:iCs/>
          <w:sz w:val="22"/>
          <w:szCs w:val="22"/>
          <w:lang w:eastAsia="es-ES_tradnl"/>
        </w:rPr>
        <w:t>,</w:t>
      </w:r>
      <w:r w:rsidRPr="00AF6580">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que derivado de la entrada en vigor de la </w:t>
      </w:r>
      <w:r w:rsidRPr="008A3F26">
        <w:rPr>
          <w:rFonts w:ascii="Palatino Linotype" w:eastAsia="Calibri" w:hAnsi="Palatino Linotype" w:cs="Tahoma"/>
          <w:bCs/>
          <w:iCs/>
          <w:sz w:val="22"/>
          <w:szCs w:val="22"/>
          <w:lang w:eastAsia="es-ES_tradnl"/>
        </w:rPr>
        <w:t>Ley de Seguridad Social para los Servidores Públicos del Estado de México y Municipios</w:t>
      </w:r>
      <w:r>
        <w:rPr>
          <w:rFonts w:ascii="Palatino Linotype" w:eastAsia="Calibri" w:hAnsi="Palatino Linotype" w:cs="Tahoma"/>
          <w:iCs/>
          <w:sz w:val="22"/>
          <w:szCs w:val="22"/>
          <w:lang w:eastAsia="es-ES_tradnl"/>
        </w:rPr>
        <w:t xml:space="preserve">, </w:t>
      </w:r>
      <w:r w:rsidR="009A7F66">
        <w:rPr>
          <w:rFonts w:ascii="Palatino Linotype" w:eastAsia="Calibri" w:hAnsi="Palatino Linotype" w:cs="Tahoma"/>
          <w:iCs/>
          <w:sz w:val="22"/>
          <w:szCs w:val="22"/>
          <w:lang w:eastAsia="es-ES_tradnl"/>
        </w:rPr>
        <w:t xml:space="preserve">publicada en el Periódico Oficial “Gaceta del Gobierno” el diez de agosto de dos mil dieciocho, </w:t>
      </w:r>
      <w:r w:rsidR="009A7F66">
        <w:rPr>
          <w:rFonts w:ascii="Palatino Linotype" w:eastAsia="Calibri" w:hAnsi="Palatino Linotype" w:cs="Tahoma"/>
          <w:bCs/>
          <w:iCs/>
          <w:sz w:val="22"/>
          <w:szCs w:val="22"/>
          <w:lang w:eastAsia="es-ES_tradnl"/>
        </w:rPr>
        <w:t>q</w:t>
      </w:r>
      <w:r w:rsidRPr="008A3F26">
        <w:rPr>
          <w:rFonts w:ascii="Palatino Linotype" w:eastAsia="Calibri" w:hAnsi="Palatino Linotype" w:cs="Tahoma"/>
          <w:bCs/>
          <w:iCs/>
          <w:sz w:val="22"/>
          <w:szCs w:val="22"/>
          <w:lang w:eastAsia="es-ES_tradnl"/>
        </w:rPr>
        <w:t xml:space="preserve">ue </w:t>
      </w:r>
      <w:r w:rsidR="009A7F66" w:rsidRPr="008A3F26">
        <w:rPr>
          <w:rFonts w:ascii="Palatino Linotype" w:eastAsia="Calibri" w:hAnsi="Palatino Linotype" w:cs="Tahoma"/>
          <w:bCs/>
          <w:iCs/>
          <w:sz w:val="22"/>
          <w:szCs w:val="22"/>
          <w:lang w:eastAsia="es-ES_tradnl"/>
        </w:rPr>
        <w:t>regir</w:t>
      </w:r>
      <w:r w:rsidR="009A7F66">
        <w:rPr>
          <w:rFonts w:ascii="Palatino Linotype" w:eastAsia="Calibri" w:hAnsi="Palatino Linotype" w:cs="Tahoma"/>
          <w:bCs/>
          <w:iCs/>
          <w:sz w:val="22"/>
          <w:szCs w:val="22"/>
          <w:lang w:eastAsia="es-ES_tradnl"/>
        </w:rPr>
        <w:t>ía</w:t>
      </w:r>
      <w:r w:rsidR="009A7F66" w:rsidRPr="008A3F26">
        <w:rPr>
          <w:rFonts w:ascii="Palatino Linotype" w:eastAsia="Calibri" w:hAnsi="Palatino Linotype" w:cs="Tahoma"/>
          <w:bCs/>
          <w:iCs/>
          <w:sz w:val="22"/>
          <w:szCs w:val="22"/>
          <w:lang w:eastAsia="es-ES_tradnl"/>
        </w:rPr>
        <w:t xml:space="preserve"> </w:t>
      </w:r>
      <w:r w:rsidRPr="008A3F26">
        <w:rPr>
          <w:rFonts w:ascii="Palatino Linotype" w:eastAsia="Calibri" w:hAnsi="Palatino Linotype" w:cs="Tahoma"/>
          <w:bCs/>
          <w:iCs/>
          <w:sz w:val="22"/>
          <w:szCs w:val="22"/>
          <w:lang w:eastAsia="es-ES_tradnl"/>
        </w:rPr>
        <w:t xml:space="preserve">al ISSEMYM a partir del </w:t>
      </w:r>
      <w:r w:rsidR="009A7F66">
        <w:rPr>
          <w:rFonts w:ascii="Palatino Linotype" w:eastAsia="Calibri" w:hAnsi="Palatino Linotype" w:cs="Tahoma"/>
          <w:bCs/>
          <w:iCs/>
          <w:sz w:val="22"/>
          <w:szCs w:val="22"/>
          <w:lang w:eastAsia="es-ES_tradnl"/>
        </w:rPr>
        <w:t>primero</w:t>
      </w:r>
      <w:r w:rsidR="009A7F66" w:rsidRPr="008A3F26">
        <w:rPr>
          <w:rFonts w:ascii="Palatino Linotype" w:eastAsia="Calibri" w:hAnsi="Palatino Linotype" w:cs="Tahoma"/>
          <w:bCs/>
          <w:iCs/>
          <w:sz w:val="22"/>
          <w:szCs w:val="22"/>
          <w:lang w:eastAsia="es-ES_tradnl"/>
        </w:rPr>
        <w:t xml:space="preserve"> </w:t>
      </w:r>
      <w:r w:rsidRPr="008A3F26">
        <w:rPr>
          <w:rFonts w:ascii="Palatino Linotype" w:eastAsia="Calibri" w:hAnsi="Palatino Linotype" w:cs="Tahoma"/>
          <w:bCs/>
          <w:iCs/>
          <w:sz w:val="22"/>
          <w:szCs w:val="22"/>
          <w:lang w:eastAsia="es-ES_tradnl"/>
        </w:rPr>
        <w:t xml:space="preserve">de enero de </w:t>
      </w:r>
      <w:r w:rsidR="009A7F66">
        <w:rPr>
          <w:rFonts w:ascii="Palatino Linotype" w:eastAsia="Calibri" w:hAnsi="Palatino Linotype" w:cs="Tahoma"/>
          <w:bCs/>
          <w:iCs/>
          <w:sz w:val="22"/>
          <w:szCs w:val="22"/>
          <w:lang w:eastAsia="es-ES_tradnl"/>
        </w:rPr>
        <w:t>dos mil diecinueve</w:t>
      </w:r>
      <w:r>
        <w:rPr>
          <w:rFonts w:ascii="Palatino Linotype" w:eastAsia="Calibri" w:hAnsi="Palatino Linotype" w:cs="Tahoma"/>
          <w:bCs/>
          <w:iCs/>
          <w:sz w:val="22"/>
          <w:szCs w:val="22"/>
          <w:lang w:eastAsia="es-ES_tradnl"/>
        </w:rPr>
        <w:t xml:space="preserve">, </w:t>
      </w:r>
      <w:r>
        <w:rPr>
          <w:rFonts w:ascii="Palatino Linotype" w:eastAsia="Calibri" w:hAnsi="Palatino Linotype" w:cs="Tahoma"/>
          <w:iCs/>
          <w:sz w:val="22"/>
          <w:szCs w:val="22"/>
          <w:lang w:eastAsia="es-ES_tradnl"/>
        </w:rPr>
        <w:t>informara lo</w:t>
      </w:r>
      <w:r w:rsidRPr="00AF6580">
        <w:rPr>
          <w:rFonts w:ascii="Palatino Linotype" w:eastAsia="Calibri" w:hAnsi="Palatino Linotype" w:cs="Tahoma"/>
          <w:iCs/>
          <w:sz w:val="22"/>
          <w:szCs w:val="22"/>
          <w:lang w:eastAsia="es-ES_tradnl"/>
        </w:rPr>
        <w:t xml:space="preserve"> siguiente:</w:t>
      </w:r>
    </w:p>
    <w:p w:rsidR="008A3F26" w:rsidRPr="00AF6580" w:rsidRDefault="008A3F26" w:rsidP="008A3F26">
      <w:pPr>
        <w:tabs>
          <w:tab w:val="left" w:pos="4962"/>
        </w:tabs>
        <w:spacing w:line="360" w:lineRule="auto"/>
        <w:jc w:val="both"/>
        <w:rPr>
          <w:rFonts w:ascii="Palatino Linotype" w:eastAsia="Calibri" w:hAnsi="Palatino Linotype" w:cs="Tahoma"/>
          <w:iCs/>
          <w:sz w:val="22"/>
          <w:szCs w:val="22"/>
          <w:lang w:eastAsia="es-ES_tradnl"/>
        </w:rPr>
      </w:pPr>
    </w:p>
    <w:p w:rsid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lastRenderedPageBreak/>
        <w:t xml:space="preserve">Actividades realizadas por la Coordinación de Prestaciones y Seguridad Social para orientar a las Unidades, Coordinaciones o Delegaciones Administrativas de las dependencias, municipios, organismos del Estado de México, con la finalidad de incorporar a los servidores públicos que opten de manera voluntaria emigrar a una cuenta individual bajo el esquema denominado “Monto de la Acreditación". </w:t>
      </w:r>
    </w:p>
    <w:p w:rsidR="00F91CC8" w:rsidRPr="00D91F7D" w:rsidRDefault="00F91CC8" w:rsidP="00BC5E14">
      <w:pPr>
        <w:pStyle w:val="Prrafodelista"/>
        <w:tabs>
          <w:tab w:val="left" w:pos="4667"/>
        </w:tabs>
        <w:spacing w:line="360" w:lineRule="auto"/>
        <w:ind w:left="924" w:right="567"/>
        <w:jc w:val="both"/>
        <w:rPr>
          <w:rFonts w:ascii="Palatino Linotype" w:eastAsia="Calibri" w:hAnsi="Palatino Linotype" w:cs="Tahoma"/>
          <w:bCs/>
          <w:sz w:val="20"/>
          <w:lang w:eastAsia="en-US"/>
        </w:rPr>
      </w:pPr>
    </w:p>
    <w:p w:rsidR="00D91F7D" w:rsidRP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t xml:space="preserve">Actividades realizadas para orientar a los Servidores Públicos de las dependencias y organismos del Estado, que opten de manera voluntaria emigrar a una cuenta individual, bajo el esquema denominado “Monto de la Acreditación". </w:t>
      </w:r>
    </w:p>
    <w:p w:rsidR="00F91CC8" w:rsidRDefault="00F91CC8" w:rsidP="00BC5E14">
      <w:pPr>
        <w:pStyle w:val="Prrafodelista"/>
        <w:tabs>
          <w:tab w:val="left" w:pos="4667"/>
        </w:tabs>
        <w:spacing w:line="360" w:lineRule="auto"/>
        <w:ind w:left="924" w:right="567"/>
        <w:jc w:val="both"/>
        <w:rPr>
          <w:rFonts w:ascii="Palatino Linotype" w:eastAsia="Calibri" w:hAnsi="Palatino Linotype" w:cs="Tahoma"/>
          <w:bCs/>
          <w:sz w:val="20"/>
          <w:lang w:eastAsia="en-US"/>
        </w:rPr>
      </w:pPr>
    </w:p>
    <w:p w:rsid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t xml:space="preserve">Se indiquen las previsiones tomadas para incorporar a todos los servidores públicos que opten de manera voluntaria emigrar a una cuenta individual bajo el esquema denominado “Monto de la Acreditación". </w:t>
      </w:r>
    </w:p>
    <w:p w:rsidR="00F91CC8" w:rsidRPr="00BC5E14" w:rsidRDefault="00F91CC8" w:rsidP="00BC5E14">
      <w:pPr>
        <w:pStyle w:val="Prrafodelista"/>
        <w:rPr>
          <w:rFonts w:ascii="Palatino Linotype" w:eastAsia="Calibri" w:hAnsi="Palatino Linotype" w:cs="Tahoma"/>
          <w:bCs/>
          <w:sz w:val="20"/>
          <w:lang w:eastAsia="en-US"/>
        </w:rPr>
      </w:pPr>
    </w:p>
    <w:p w:rsidR="00F91CC8" w:rsidRPr="00D91F7D" w:rsidRDefault="00F91CC8" w:rsidP="00BC5E14">
      <w:pPr>
        <w:pStyle w:val="Prrafodelista"/>
        <w:tabs>
          <w:tab w:val="left" w:pos="4667"/>
        </w:tabs>
        <w:spacing w:line="360" w:lineRule="auto"/>
        <w:ind w:left="924" w:right="567"/>
        <w:jc w:val="both"/>
        <w:rPr>
          <w:rFonts w:ascii="Palatino Linotype" w:eastAsia="Calibri" w:hAnsi="Palatino Linotype" w:cs="Tahoma"/>
          <w:bCs/>
          <w:sz w:val="20"/>
          <w:lang w:eastAsia="en-US"/>
        </w:rPr>
      </w:pPr>
    </w:p>
    <w:p w:rsidR="00D91F7D" w:rsidRP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t xml:space="preserve">Si se cuenta con las previsiones presupuestales liquidas para realizar las transferencias, depósitos, o movimientos bancarios a las cuentas individuales que señala la nueva Ley de Seguridad Social para los Servidores Públicos del Estado de México y Municipios, considerada como "Monto de la Acreditación" establecido en el Considerando NOVENO y DÉCIMO de dicho ordenamiento. </w:t>
      </w:r>
    </w:p>
    <w:p w:rsidR="00F91CC8" w:rsidRDefault="00F91CC8" w:rsidP="00BC5E14">
      <w:pPr>
        <w:pStyle w:val="Prrafodelista"/>
        <w:tabs>
          <w:tab w:val="left" w:pos="4667"/>
        </w:tabs>
        <w:spacing w:line="360" w:lineRule="auto"/>
        <w:ind w:left="924" w:right="567"/>
        <w:jc w:val="both"/>
        <w:rPr>
          <w:rFonts w:ascii="Palatino Linotype" w:eastAsia="Calibri" w:hAnsi="Palatino Linotype" w:cs="Tahoma"/>
          <w:bCs/>
          <w:sz w:val="20"/>
          <w:lang w:eastAsia="en-US"/>
        </w:rPr>
      </w:pPr>
    </w:p>
    <w:p w:rsidR="00D91F7D" w:rsidRP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t xml:space="preserve">Se indique la fecha o momentos establecidos para que los servidores públicos que cotizan actualmente en el Fondo Solidario y que opten de manera voluntaria emigrar a una cuenta individual bajo el esquema denominado “Monto de la Acreditación"; puedan realizarlo. </w:t>
      </w:r>
    </w:p>
    <w:p w:rsidR="00F91CC8" w:rsidRDefault="00F91CC8" w:rsidP="00BC5E14">
      <w:pPr>
        <w:pStyle w:val="Prrafodelista"/>
        <w:tabs>
          <w:tab w:val="left" w:pos="4667"/>
        </w:tabs>
        <w:spacing w:line="360" w:lineRule="auto"/>
        <w:ind w:left="924" w:right="567"/>
        <w:jc w:val="both"/>
        <w:rPr>
          <w:rFonts w:ascii="Palatino Linotype" w:eastAsia="Calibri" w:hAnsi="Palatino Linotype" w:cs="Tahoma"/>
          <w:bCs/>
          <w:sz w:val="20"/>
          <w:lang w:eastAsia="en-US"/>
        </w:rPr>
      </w:pPr>
    </w:p>
    <w:p w:rsidR="00D91F7D" w:rsidRP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t xml:space="preserve">Se indique si a la fecha existe ya un procedimiento para llevarse a cabo por parte los servidores públicos que cotizan actualmente en el Fondo Solidario y que opten de </w:t>
      </w:r>
      <w:r w:rsidRPr="00D91F7D">
        <w:rPr>
          <w:rFonts w:ascii="Palatino Linotype" w:eastAsia="Calibri" w:hAnsi="Palatino Linotype" w:cs="Tahoma"/>
          <w:bCs/>
          <w:sz w:val="20"/>
          <w:lang w:eastAsia="en-US"/>
        </w:rPr>
        <w:lastRenderedPageBreak/>
        <w:t xml:space="preserve">manera voluntaria emigrar a una cuenta individual bajo el esquema denominado “Monto de la Acreditación", en su caso proporcionarlo. </w:t>
      </w:r>
    </w:p>
    <w:p w:rsidR="00F91CC8" w:rsidRDefault="00F91CC8" w:rsidP="00BC5E14">
      <w:pPr>
        <w:pStyle w:val="Prrafodelista"/>
        <w:tabs>
          <w:tab w:val="left" w:pos="4667"/>
        </w:tabs>
        <w:spacing w:line="360" w:lineRule="auto"/>
        <w:ind w:left="924" w:right="567"/>
        <w:jc w:val="both"/>
        <w:rPr>
          <w:rFonts w:ascii="Palatino Linotype" w:eastAsia="Calibri" w:hAnsi="Palatino Linotype" w:cs="Tahoma"/>
          <w:bCs/>
          <w:sz w:val="20"/>
          <w:lang w:eastAsia="en-US"/>
        </w:rPr>
      </w:pPr>
    </w:p>
    <w:p w:rsidR="008A3F26" w:rsidRPr="00D91F7D" w:rsidRDefault="008A3F26" w:rsidP="00D91F7D">
      <w:pPr>
        <w:pStyle w:val="Prrafodelista"/>
        <w:numPr>
          <w:ilvl w:val="0"/>
          <w:numId w:val="21"/>
        </w:numPr>
        <w:tabs>
          <w:tab w:val="left" w:pos="4667"/>
        </w:tabs>
        <w:spacing w:line="360" w:lineRule="auto"/>
        <w:ind w:left="924" w:right="567" w:hanging="357"/>
        <w:jc w:val="both"/>
        <w:rPr>
          <w:rFonts w:ascii="Palatino Linotype" w:eastAsia="Calibri" w:hAnsi="Palatino Linotype" w:cs="Tahoma"/>
          <w:bCs/>
          <w:sz w:val="20"/>
          <w:lang w:eastAsia="en-US"/>
        </w:rPr>
      </w:pPr>
      <w:r w:rsidRPr="00D91F7D">
        <w:rPr>
          <w:rFonts w:ascii="Palatino Linotype" w:eastAsia="Calibri" w:hAnsi="Palatino Linotype" w:cs="Tahoma"/>
          <w:bCs/>
          <w:sz w:val="20"/>
          <w:lang w:eastAsia="en-US"/>
        </w:rPr>
        <w:t>Se indiquen en cuanto tiempo deberán acreditarse los recursos financieros EN LA CUENTA INDIVIDUAL elegida por el Servidor Público del denominado "Monto de la Acreditación" en el supuesto que el servidor público acepte esta opción.</w:t>
      </w:r>
    </w:p>
    <w:p w:rsidR="00D91F7D" w:rsidRPr="00BC2DB8" w:rsidRDefault="00D91F7D" w:rsidP="008A3F26">
      <w:pPr>
        <w:tabs>
          <w:tab w:val="left" w:pos="4667"/>
        </w:tabs>
        <w:spacing w:line="360" w:lineRule="auto"/>
        <w:ind w:left="567" w:right="567"/>
        <w:jc w:val="both"/>
        <w:rPr>
          <w:rFonts w:ascii="Palatino Linotype" w:eastAsia="Calibri" w:hAnsi="Palatino Linotype" w:cs="Tahoma"/>
          <w:iCs/>
          <w:szCs w:val="22"/>
          <w:lang w:eastAsia="es-ES_tradnl"/>
        </w:rPr>
      </w:pPr>
    </w:p>
    <w:p w:rsidR="00D91F7D" w:rsidRDefault="00D91F7D" w:rsidP="008A3F2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su respuesta</w:t>
      </w:r>
      <w:r w:rsidR="008A3F26" w:rsidRPr="00140A9A">
        <w:rPr>
          <w:rFonts w:ascii="Palatino Linotype" w:eastAsia="Calibri" w:hAnsi="Palatino Linotype" w:cs="Tahoma"/>
          <w:iCs/>
          <w:sz w:val="22"/>
          <w:szCs w:val="22"/>
          <w:lang w:val="es-ES" w:eastAsia="es-ES_tradnl"/>
        </w:rPr>
        <w:t xml:space="preserve"> el Sujeto Obligado </w:t>
      </w:r>
      <w:r w:rsidR="009A7F66">
        <w:rPr>
          <w:rFonts w:ascii="Palatino Linotype" w:eastAsia="Calibri" w:hAnsi="Palatino Linotype" w:cs="Tahoma"/>
          <w:iCs/>
          <w:sz w:val="22"/>
          <w:szCs w:val="22"/>
          <w:lang w:val="es-ES" w:eastAsia="es-ES_tradnl"/>
        </w:rPr>
        <w:t>hizo de</w:t>
      </w:r>
      <w:r w:rsidR="00F91CC8">
        <w:rPr>
          <w:rFonts w:ascii="Palatino Linotype" w:eastAsia="Calibri" w:hAnsi="Palatino Linotype" w:cs="Tahoma"/>
          <w:iCs/>
          <w:sz w:val="22"/>
          <w:szCs w:val="22"/>
          <w:lang w:val="es-ES" w:eastAsia="es-ES_tradnl"/>
        </w:rPr>
        <w:t>l conocimiento del Particular</w:t>
      </w:r>
      <w:r>
        <w:rPr>
          <w:rFonts w:ascii="Palatino Linotype" w:eastAsia="Calibri" w:hAnsi="Palatino Linotype" w:cs="Tahoma"/>
          <w:iCs/>
          <w:sz w:val="22"/>
          <w:szCs w:val="22"/>
          <w:lang w:val="es-ES" w:eastAsia="es-ES_tradnl"/>
        </w:rPr>
        <w:t xml:space="preserve">, respecto </w:t>
      </w:r>
      <w:r w:rsidR="00F91CC8">
        <w:rPr>
          <w:rFonts w:ascii="Palatino Linotype" w:eastAsia="Calibri" w:hAnsi="Palatino Linotype" w:cs="Tahoma"/>
          <w:iCs/>
          <w:sz w:val="22"/>
          <w:szCs w:val="22"/>
          <w:lang w:val="es-ES" w:eastAsia="es-ES_tradnl"/>
        </w:rPr>
        <w:t xml:space="preserve">de </w:t>
      </w:r>
      <w:r>
        <w:rPr>
          <w:rFonts w:ascii="Palatino Linotype" w:eastAsia="Calibri" w:hAnsi="Palatino Linotype" w:cs="Tahoma"/>
          <w:iCs/>
          <w:sz w:val="22"/>
          <w:szCs w:val="22"/>
          <w:lang w:val="es-ES" w:eastAsia="es-ES_tradnl"/>
        </w:rPr>
        <w:t xml:space="preserve">lo solicitado en cada uno de los numerales que anteceden, </w:t>
      </w:r>
      <w:r w:rsidR="00F71280">
        <w:rPr>
          <w:rFonts w:ascii="Palatino Linotype" w:eastAsia="Calibri" w:hAnsi="Palatino Linotype" w:cs="Tahoma"/>
          <w:iCs/>
          <w:sz w:val="22"/>
          <w:szCs w:val="22"/>
          <w:lang w:val="es-ES" w:eastAsia="es-ES_tradnl"/>
        </w:rPr>
        <w:t xml:space="preserve">de manera sustancial, </w:t>
      </w:r>
      <w:r>
        <w:rPr>
          <w:rFonts w:ascii="Palatino Linotype" w:eastAsia="Calibri" w:hAnsi="Palatino Linotype" w:cs="Tahoma"/>
          <w:iCs/>
          <w:sz w:val="22"/>
          <w:szCs w:val="22"/>
          <w:lang w:val="es-ES" w:eastAsia="es-ES_tradnl"/>
        </w:rPr>
        <w:t>lo siguiente:</w:t>
      </w:r>
    </w:p>
    <w:p w:rsidR="0041495B" w:rsidRPr="0041495B" w:rsidRDefault="0041495B" w:rsidP="0041495B">
      <w:pPr>
        <w:tabs>
          <w:tab w:val="left" w:pos="4962"/>
        </w:tabs>
        <w:spacing w:line="360" w:lineRule="auto"/>
        <w:ind w:left="567" w:right="567"/>
        <w:jc w:val="both"/>
        <w:rPr>
          <w:rFonts w:ascii="Palatino Linotype" w:eastAsia="Calibri" w:hAnsi="Palatino Linotype" w:cs="Tahoma"/>
          <w:iCs/>
          <w:lang w:val="es-ES" w:eastAsia="es-ES_tradnl"/>
        </w:rPr>
      </w:pPr>
    </w:p>
    <w:p w:rsidR="0041495B" w:rsidRPr="0041495B" w:rsidRDefault="0041495B" w:rsidP="00FE3EDA">
      <w:pPr>
        <w:spacing w:line="360" w:lineRule="auto"/>
        <w:ind w:left="567" w:right="567"/>
        <w:jc w:val="both"/>
        <w:rPr>
          <w:rFonts w:ascii="Palatino Linotype" w:hAnsi="Palatino Linotype" w:cs="Tahoma"/>
          <w:bCs/>
        </w:rPr>
      </w:pPr>
      <w:r w:rsidRPr="0041495B">
        <w:rPr>
          <w:rFonts w:ascii="Palatino Linotype" w:hAnsi="Palatino Linotype" w:cs="Tahoma"/>
          <w:b/>
          <w:bCs/>
        </w:rPr>
        <w:t>1.</w:t>
      </w:r>
      <w:r>
        <w:rPr>
          <w:rFonts w:ascii="Palatino Linotype" w:hAnsi="Palatino Linotype" w:cs="Tahoma"/>
          <w:bCs/>
        </w:rPr>
        <w:t xml:space="preserve"> </w:t>
      </w:r>
      <w:r w:rsidRPr="0041495B">
        <w:rPr>
          <w:rFonts w:ascii="Palatino Linotype" w:hAnsi="Palatino Linotype" w:cs="Tahoma"/>
          <w:bCs/>
        </w:rPr>
        <w:t>... en el presente caso, la información solicitada no se genera ni se encuentra en los archivos tal y como lo solicita, razón por la cual no es posible proporcionarla, siendo importante mencionar que la Ley de Seguridad Social para los Servidores Públicos del Estado de México y Municipios es de observancia general y entrará en vigor a partir del 1 de enero de 2019, y su información ésta disponible en la página del Instituto de Seguridad Social del Estado de México y Municipios, así como la información relacionada con la misma, en la siguiente dirección electrónica:</w:t>
      </w:r>
    </w:p>
    <w:p w:rsidR="0041495B" w:rsidRDefault="00084EF9" w:rsidP="00FE3EDA">
      <w:pPr>
        <w:spacing w:line="360" w:lineRule="auto"/>
        <w:ind w:left="567" w:right="567"/>
        <w:jc w:val="both"/>
        <w:rPr>
          <w:rStyle w:val="Hipervnculo"/>
          <w:rFonts w:ascii="Palatino Linotype" w:hAnsi="Palatino Linotype" w:cs="Tahoma"/>
          <w:bCs/>
        </w:rPr>
      </w:pPr>
      <w:hyperlink r:id="rId10" w:history="1">
        <w:r w:rsidR="0041495B" w:rsidRPr="007123B1">
          <w:rPr>
            <w:rStyle w:val="Hipervnculo"/>
            <w:rFonts w:ascii="Palatino Linotype" w:hAnsi="Palatino Linotype" w:cs="Tahoma"/>
            <w:bCs/>
          </w:rPr>
          <w:t>http://www.issemym.gob.mx/ley_2019</w:t>
        </w:r>
      </w:hyperlink>
    </w:p>
    <w:p w:rsidR="00F91CC8" w:rsidRDefault="00F91CC8" w:rsidP="00FE3EDA">
      <w:pPr>
        <w:spacing w:line="360" w:lineRule="auto"/>
        <w:ind w:left="567" w:right="567"/>
        <w:jc w:val="both"/>
        <w:rPr>
          <w:rFonts w:ascii="Palatino Linotype" w:hAnsi="Palatino Linotype" w:cs="Tahoma"/>
          <w:bCs/>
        </w:rPr>
      </w:pPr>
    </w:p>
    <w:p w:rsidR="0041495B" w:rsidRDefault="0041495B" w:rsidP="00FE3EDA">
      <w:pPr>
        <w:tabs>
          <w:tab w:val="left" w:pos="4667"/>
        </w:tabs>
        <w:spacing w:line="360" w:lineRule="auto"/>
        <w:ind w:left="567" w:right="567"/>
        <w:jc w:val="both"/>
        <w:rPr>
          <w:rFonts w:ascii="Palatino Linotype" w:eastAsia="Calibri" w:hAnsi="Palatino Linotype" w:cs="Tahoma"/>
          <w:bCs/>
          <w:lang w:eastAsia="en-US"/>
        </w:rPr>
      </w:pPr>
      <w:r w:rsidRPr="0041495B">
        <w:rPr>
          <w:rFonts w:ascii="Palatino Linotype" w:eastAsia="Calibri" w:hAnsi="Palatino Linotype" w:cs="Tahoma"/>
          <w:b/>
          <w:bCs/>
          <w:lang w:eastAsia="en-US"/>
        </w:rPr>
        <w:t xml:space="preserve">2. </w:t>
      </w:r>
      <w:r w:rsidRPr="0041495B">
        <w:rPr>
          <w:rFonts w:ascii="Palatino Linotype" w:eastAsia="Calibri" w:hAnsi="Palatino Linotype" w:cs="Tahoma"/>
          <w:bCs/>
          <w:lang w:eastAsia="en-US"/>
        </w:rPr>
        <w:t>y</w:t>
      </w:r>
      <w:r w:rsidRPr="0041495B">
        <w:rPr>
          <w:rFonts w:ascii="Palatino Linotype" w:eastAsia="Calibri" w:hAnsi="Palatino Linotype" w:cs="Tahoma"/>
          <w:b/>
          <w:bCs/>
          <w:lang w:eastAsia="en-US"/>
        </w:rPr>
        <w:t xml:space="preserve"> 3.</w:t>
      </w:r>
      <w:r w:rsidRPr="0041495B">
        <w:rPr>
          <w:rFonts w:ascii="Palatino Linotype" w:eastAsia="Calibri" w:hAnsi="Palatino Linotype" w:cs="Tahoma"/>
          <w:bCs/>
          <w:lang w:eastAsia="en-US"/>
        </w:rPr>
        <w:t xml:space="preserve"> De acuerdo a lo previsto en los títulos noveno, décimo y décimo primero transitorios de la Ley de Seguridad Social para los Servidores Públicos del Estado de México y Municipios, se establece el</w:t>
      </w:r>
      <w:r w:rsidRPr="0041495B">
        <w:rPr>
          <w:rFonts w:ascii="Palatino Linotype" w:eastAsia="Calibri" w:hAnsi="Palatino Linotype" w:cs="Tahoma"/>
          <w:b/>
          <w:bCs/>
          <w:lang w:val="es-ES" w:eastAsia="en-US"/>
        </w:rPr>
        <w:t xml:space="preserve"> </w:t>
      </w:r>
      <w:r w:rsidRPr="0041495B">
        <w:rPr>
          <w:rFonts w:ascii="Palatino Linotype" w:eastAsia="Calibri" w:hAnsi="Palatino Linotype" w:cs="Tahoma"/>
          <w:bCs/>
          <w:lang w:eastAsia="en-US"/>
        </w:rPr>
        <w:t>procedimiento que deben seguir los servidores públicos que opten por migrar al régimen de cuenta individual que se sujeta a las previsiones que dispone dicha ley, Es importante aclarar que la incorporación de los servidores públicos que opten por migrar al régimen de cuenta individual se sujeta a las previsiones que dispone el ordenamiento en cita.</w:t>
      </w:r>
    </w:p>
    <w:p w:rsidR="00F91CC8" w:rsidRDefault="00F91CC8" w:rsidP="00FE3EDA">
      <w:pPr>
        <w:tabs>
          <w:tab w:val="left" w:pos="4667"/>
        </w:tabs>
        <w:spacing w:line="360" w:lineRule="auto"/>
        <w:ind w:left="567" w:right="567"/>
        <w:jc w:val="both"/>
        <w:rPr>
          <w:rFonts w:ascii="Palatino Linotype" w:eastAsia="Calibri" w:hAnsi="Palatino Linotype" w:cs="Tahoma"/>
          <w:bCs/>
          <w:lang w:eastAsia="en-US"/>
        </w:rPr>
      </w:pPr>
    </w:p>
    <w:p w:rsidR="0041495B" w:rsidRDefault="0041495B" w:rsidP="00FE3EDA">
      <w:pPr>
        <w:tabs>
          <w:tab w:val="left" w:pos="4667"/>
        </w:tabs>
        <w:spacing w:line="360" w:lineRule="auto"/>
        <w:ind w:left="567" w:right="567"/>
        <w:jc w:val="both"/>
        <w:rPr>
          <w:rFonts w:ascii="Palatino Linotype" w:eastAsia="Calibri" w:hAnsi="Palatino Linotype" w:cs="Tahoma"/>
          <w:bCs/>
          <w:lang w:eastAsia="en-US"/>
        </w:rPr>
      </w:pPr>
      <w:r w:rsidRPr="0041495B">
        <w:rPr>
          <w:rFonts w:ascii="Palatino Linotype" w:eastAsia="Calibri" w:hAnsi="Palatino Linotype" w:cs="Tahoma"/>
          <w:b/>
          <w:bCs/>
          <w:lang w:eastAsia="en-US"/>
        </w:rPr>
        <w:lastRenderedPageBreak/>
        <w:t>4.</w:t>
      </w:r>
      <w:r>
        <w:rPr>
          <w:rFonts w:ascii="Palatino Linotype" w:eastAsia="Calibri" w:hAnsi="Palatino Linotype" w:cs="Tahoma"/>
          <w:bCs/>
          <w:lang w:eastAsia="en-US"/>
        </w:rPr>
        <w:t xml:space="preserve"> </w:t>
      </w:r>
      <w:r w:rsidRPr="0041495B">
        <w:rPr>
          <w:rFonts w:ascii="Palatino Linotype" w:eastAsia="Calibri" w:hAnsi="Palatino Linotype" w:cs="Tahoma"/>
          <w:bCs/>
          <w:lang w:eastAsia="en-US"/>
        </w:rPr>
        <w:t>AI respecto, se le comunica que no se requiere presupuesto para incorporar a los servidores públicos que opten de manera voluntaria migrar a una cuenta individual bajo el esquema denominado "Monto de la Acreditación".</w:t>
      </w:r>
    </w:p>
    <w:p w:rsidR="00F91CC8" w:rsidRDefault="00F91CC8" w:rsidP="00FE3EDA">
      <w:pPr>
        <w:tabs>
          <w:tab w:val="left" w:pos="4667"/>
        </w:tabs>
        <w:spacing w:line="360" w:lineRule="auto"/>
        <w:ind w:left="567" w:right="567"/>
        <w:jc w:val="both"/>
        <w:rPr>
          <w:rFonts w:ascii="Palatino Linotype" w:eastAsia="Calibri" w:hAnsi="Palatino Linotype" w:cs="Tahoma"/>
          <w:bCs/>
          <w:lang w:eastAsia="en-US"/>
        </w:rPr>
      </w:pPr>
    </w:p>
    <w:p w:rsidR="0041495B" w:rsidRDefault="0041495B" w:rsidP="00FE3EDA">
      <w:pPr>
        <w:tabs>
          <w:tab w:val="left" w:pos="4667"/>
        </w:tabs>
        <w:spacing w:line="360" w:lineRule="auto"/>
        <w:ind w:left="567" w:right="567"/>
        <w:jc w:val="both"/>
        <w:rPr>
          <w:rFonts w:ascii="Palatino Linotype" w:eastAsia="Calibri" w:hAnsi="Palatino Linotype" w:cs="Tahoma"/>
          <w:bCs/>
          <w:lang w:eastAsia="en-US"/>
        </w:rPr>
      </w:pPr>
      <w:r w:rsidRPr="0041495B">
        <w:rPr>
          <w:rFonts w:ascii="Palatino Linotype" w:eastAsia="Calibri" w:hAnsi="Palatino Linotype" w:cs="Tahoma"/>
          <w:b/>
          <w:bCs/>
          <w:lang w:eastAsia="en-US"/>
        </w:rPr>
        <w:t>5.</w:t>
      </w:r>
      <w:r>
        <w:rPr>
          <w:rFonts w:ascii="Palatino Linotype" w:eastAsia="Calibri" w:hAnsi="Palatino Linotype" w:cs="Tahoma"/>
          <w:bCs/>
          <w:lang w:eastAsia="en-US"/>
        </w:rPr>
        <w:t xml:space="preserve"> </w:t>
      </w:r>
      <w:r w:rsidRPr="0041495B">
        <w:rPr>
          <w:rFonts w:ascii="Palatino Linotype" w:eastAsia="Calibri" w:hAnsi="Palatino Linotype" w:cs="Tahoma"/>
          <w:bCs/>
          <w:lang w:eastAsia="en-US"/>
        </w:rPr>
        <w:t xml:space="preserve">En respuesta, se le comunica que con fundamento en el artículo décimo primero transitorio de la Ley para los Servidores Públicos del Estado de México y Municipios, que entrará en vigor a partir del 1 de Enero del 2019, se establece: </w:t>
      </w:r>
    </w:p>
    <w:p w:rsidR="00F91CC8" w:rsidRPr="0041495B" w:rsidRDefault="00F91CC8" w:rsidP="00FE3EDA">
      <w:pPr>
        <w:tabs>
          <w:tab w:val="left" w:pos="4667"/>
        </w:tabs>
        <w:spacing w:line="360" w:lineRule="auto"/>
        <w:ind w:left="567" w:right="567"/>
        <w:jc w:val="both"/>
        <w:rPr>
          <w:rFonts w:ascii="Palatino Linotype" w:eastAsia="Calibri" w:hAnsi="Palatino Linotype" w:cs="Tahoma"/>
          <w:bCs/>
          <w:lang w:eastAsia="en-US"/>
        </w:rPr>
      </w:pPr>
    </w:p>
    <w:p w:rsidR="0041495B" w:rsidRDefault="0041495B" w:rsidP="00FE3EDA">
      <w:pPr>
        <w:tabs>
          <w:tab w:val="left" w:pos="4667"/>
        </w:tabs>
        <w:spacing w:line="360" w:lineRule="auto"/>
        <w:ind w:left="567" w:right="567"/>
        <w:jc w:val="both"/>
        <w:rPr>
          <w:rFonts w:ascii="Palatino Linotype" w:eastAsia="Calibri" w:hAnsi="Palatino Linotype" w:cs="Tahoma"/>
          <w:bCs/>
          <w:i/>
          <w:lang w:eastAsia="en-US"/>
        </w:rPr>
      </w:pPr>
      <w:r w:rsidRPr="0041495B">
        <w:rPr>
          <w:rFonts w:ascii="Palatino Linotype" w:eastAsia="Calibri" w:hAnsi="Palatino Linotype" w:cs="Tahoma"/>
          <w:bCs/>
          <w:i/>
          <w:lang w:eastAsia="en-US"/>
        </w:rPr>
        <w:t>"Los Servidores Públicos tendrán tres meses a partir ce que tengan conocimiento del cálculo preliminar de su Acreditación, para manifestar a través de los mecanismos que determine el Instituto, si optan por migrar al régimen de pensiones establecido en esta Ley y se les realice la Acreditación."</w:t>
      </w:r>
    </w:p>
    <w:p w:rsidR="00F91CC8" w:rsidRPr="0041495B" w:rsidRDefault="00F91CC8" w:rsidP="00FE3EDA">
      <w:pPr>
        <w:tabs>
          <w:tab w:val="left" w:pos="4667"/>
        </w:tabs>
        <w:spacing w:line="360" w:lineRule="auto"/>
        <w:ind w:left="567" w:right="567"/>
        <w:jc w:val="both"/>
        <w:rPr>
          <w:rFonts w:ascii="Palatino Linotype" w:eastAsia="Calibri" w:hAnsi="Palatino Linotype" w:cs="Tahoma"/>
          <w:bCs/>
          <w:i/>
          <w:lang w:eastAsia="en-US"/>
        </w:rPr>
      </w:pPr>
    </w:p>
    <w:p w:rsidR="00FE3EDA" w:rsidRPr="00FE3EDA" w:rsidRDefault="0041495B" w:rsidP="00FE3EDA">
      <w:pPr>
        <w:tabs>
          <w:tab w:val="left" w:pos="4667"/>
        </w:tabs>
        <w:spacing w:line="360" w:lineRule="auto"/>
        <w:ind w:left="567" w:right="567"/>
        <w:jc w:val="both"/>
        <w:rPr>
          <w:rFonts w:ascii="Palatino Linotype" w:eastAsia="Calibri" w:hAnsi="Palatino Linotype" w:cs="Tahoma"/>
          <w:b/>
          <w:bCs/>
          <w:lang w:val="es-ES" w:eastAsia="en-US"/>
        </w:rPr>
      </w:pPr>
      <w:r w:rsidRPr="00FE3EDA">
        <w:rPr>
          <w:rFonts w:ascii="Palatino Linotype" w:eastAsia="Calibri" w:hAnsi="Palatino Linotype" w:cs="Tahoma"/>
          <w:b/>
          <w:bCs/>
          <w:lang w:eastAsia="en-US"/>
        </w:rPr>
        <w:t>6.</w:t>
      </w:r>
      <w:r>
        <w:rPr>
          <w:rFonts w:ascii="Palatino Linotype" w:eastAsia="Calibri" w:hAnsi="Palatino Linotype" w:cs="Tahoma"/>
          <w:bCs/>
          <w:lang w:eastAsia="en-US"/>
        </w:rPr>
        <w:t xml:space="preserve"> </w:t>
      </w:r>
      <w:r w:rsidR="00FE3EDA" w:rsidRPr="00FE3EDA">
        <w:rPr>
          <w:rFonts w:ascii="Palatino Linotype" w:eastAsia="Calibri" w:hAnsi="Palatino Linotype" w:cs="Tahoma"/>
          <w:bCs/>
          <w:lang w:eastAsia="en-US"/>
        </w:rPr>
        <w:t>Se hace del conocimiento del partic</w:t>
      </w:r>
      <w:r w:rsidR="00FE3EDA">
        <w:rPr>
          <w:rFonts w:ascii="Palatino Linotype" w:eastAsia="Calibri" w:hAnsi="Palatino Linotype" w:cs="Tahoma"/>
          <w:bCs/>
          <w:lang w:eastAsia="en-US"/>
        </w:rPr>
        <w:t>ular que, en el presente caso, l</w:t>
      </w:r>
      <w:r w:rsidR="00FE3EDA" w:rsidRPr="00FE3EDA">
        <w:rPr>
          <w:rFonts w:ascii="Palatino Linotype" w:eastAsia="Calibri" w:hAnsi="Palatino Linotype" w:cs="Tahoma"/>
          <w:bCs/>
          <w:lang w:eastAsia="en-US"/>
        </w:rPr>
        <w:t>a información solicitada no se genera ni se encuentra en los archivos tal y como lo solicita, razón por la cual no es posible proporcionarla, siendo importante mencionar que la Ley de Seguridad Social para los Servidores Públicos del Estado de México y Municipios es de observancia general y entrará en vigor a partir del 1 de enero de 2019, y su información ésta disponible en la página del Instituto de Seguridad Social del Estado de México y Municipios, así como la información relacionada con la misma, en la siguiente dirección electrónica:</w:t>
      </w:r>
    </w:p>
    <w:p w:rsidR="00FE3EDA" w:rsidRDefault="00084EF9" w:rsidP="00FE3EDA">
      <w:pPr>
        <w:tabs>
          <w:tab w:val="left" w:pos="4667"/>
        </w:tabs>
        <w:spacing w:line="360" w:lineRule="auto"/>
        <w:ind w:left="567" w:right="567"/>
        <w:jc w:val="both"/>
        <w:rPr>
          <w:rStyle w:val="Hipervnculo"/>
          <w:rFonts w:ascii="Palatino Linotype" w:eastAsia="Calibri" w:hAnsi="Palatino Linotype" w:cs="Tahoma"/>
          <w:bCs/>
          <w:lang w:eastAsia="en-US"/>
        </w:rPr>
      </w:pPr>
      <w:hyperlink r:id="rId11" w:history="1">
        <w:r w:rsidR="00FE3EDA" w:rsidRPr="00FE3EDA">
          <w:rPr>
            <w:rStyle w:val="Hipervnculo"/>
            <w:rFonts w:ascii="Palatino Linotype" w:eastAsia="Calibri" w:hAnsi="Palatino Linotype" w:cs="Tahoma"/>
            <w:bCs/>
            <w:lang w:eastAsia="en-US"/>
          </w:rPr>
          <w:t>http://www.issemym.gob.mx/ley_2019</w:t>
        </w:r>
      </w:hyperlink>
    </w:p>
    <w:p w:rsidR="00F91CC8" w:rsidRDefault="00F91CC8" w:rsidP="00FE3EDA">
      <w:pPr>
        <w:tabs>
          <w:tab w:val="left" w:pos="4667"/>
        </w:tabs>
        <w:spacing w:line="360" w:lineRule="auto"/>
        <w:ind w:left="567" w:right="567"/>
        <w:jc w:val="both"/>
        <w:rPr>
          <w:rFonts w:ascii="Palatino Linotype" w:eastAsia="Calibri" w:hAnsi="Palatino Linotype" w:cs="Tahoma"/>
          <w:bCs/>
          <w:lang w:eastAsia="en-US"/>
        </w:rPr>
      </w:pPr>
    </w:p>
    <w:p w:rsidR="00FE3EDA" w:rsidRDefault="00FE3EDA" w:rsidP="00FE3EDA">
      <w:pPr>
        <w:tabs>
          <w:tab w:val="left" w:pos="4667"/>
        </w:tabs>
        <w:spacing w:line="360" w:lineRule="auto"/>
        <w:ind w:left="567" w:right="567"/>
        <w:jc w:val="both"/>
        <w:rPr>
          <w:rFonts w:ascii="Palatino Linotype" w:eastAsia="Calibri" w:hAnsi="Palatino Linotype" w:cs="Tahoma"/>
          <w:bCs/>
          <w:lang w:eastAsia="en-US"/>
        </w:rPr>
      </w:pPr>
      <w:r w:rsidRPr="00FE3EDA">
        <w:rPr>
          <w:rFonts w:ascii="Palatino Linotype" w:eastAsia="Calibri" w:hAnsi="Palatino Linotype" w:cs="Tahoma"/>
          <w:b/>
          <w:bCs/>
          <w:lang w:eastAsia="en-US"/>
        </w:rPr>
        <w:t>7.</w:t>
      </w:r>
      <w:r>
        <w:rPr>
          <w:rFonts w:ascii="Palatino Linotype" w:eastAsia="Calibri" w:hAnsi="Palatino Linotype" w:cs="Tahoma"/>
          <w:bCs/>
          <w:lang w:eastAsia="en-US"/>
        </w:rPr>
        <w:t xml:space="preserve"> </w:t>
      </w:r>
      <w:r w:rsidRPr="00FE3EDA">
        <w:rPr>
          <w:rFonts w:ascii="Palatino Linotype" w:eastAsia="Calibri" w:hAnsi="Palatino Linotype" w:cs="Tahoma"/>
          <w:bCs/>
          <w:lang w:eastAsia="en-US"/>
        </w:rPr>
        <w:t xml:space="preserve">Se le informa que no existe un tiempo establecido en el que deberán acreditarse los recursos financieros en la Cuenta Individual elegida por el servidor público del denominado "Monto de la Acreditación", en el supuesto que el servidor público acepte esta opción, lo cual se encuentra estrechamente relacionado con lo dispuesto en el artículo 42 de la Ley de Seguridad Social para los Servidores Públicos del Estado de México y Municipios, específicamente para otorgar la pensión que en derecho corresponda con los </w:t>
      </w:r>
      <w:r w:rsidRPr="00FE3EDA">
        <w:rPr>
          <w:rFonts w:ascii="Palatino Linotype" w:eastAsia="Calibri" w:hAnsi="Palatino Linotype" w:cs="Tahoma"/>
          <w:bCs/>
          <w:lang w:eastAsia="en-US"/>
        </w:rPr>
        <w:lastRenderedPageBreak/>
        <w:t>recursos que integran su cuenta individual al momento en que el servidor público s</w:t>
      </w:r>
      <w:r>
        <w:rPr>
          <w:rFonts w:ascii="Palatino Linotype" w:eastAsia="Calibri" w:hAnsi="Palatino Linotype" w:cs="Tahoma"/>
          <w:bCs/>
          <w:lang w:eastAsia="en-US"/>
        </w:rPr>
        <w:t>e encuentre en el supuesto legal</w:t>
      </w:r>
      <w:r w:rsidRPr="00FE3EDA">
        <w:rPr>
          <w:rFonts w:ascii="Palatino Linotype" w:eastAsia="Calibri" w:hAnsi="Palatino Linotype" w:cs="Tahoma"/>
          <w:bCs/>
          <w:lang w:eastAsia="en-US"/>
        </w:rPr>
        <w:t xml:space="preserve"> y satisfaga los requisitos correspondientes.</w:t>
      </w:r>
    </w:p>
    <w:p w:rsidR="00F91CC8" w:rsidRDefault="00F91CC8" w:rsidP="00FE3EDA">
      <w:pPr>
        <w:tabs>
          <w:tab w:val="left" w:pos="4667"/>
        </w:tabs>
        <w:spacing w:line="360" w:lineRule="auto"/>
        <w:ind w:left="567" w:right="567"/>
        <w:jc w:val="both"/>
        <w:rPr>
          <w:rFonts w:ascii="Palatino Linotype" w:eastAsia="Calibri" w:hAnsi="Palatino Linotype" w:cs="Tahoma"/>
          <w:bCs/>
          <w:lang w:eastAsia="en-US"/>
        </w:rPr>
      </w:pPr>
    </w:p>
    <w:p w:rsidR="008A3F26" w:rsidRDefault="00F71280" w:rsidP="008A3F2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Inconforme con la respuesta proporcionada por el Sujeto Obligado, </w:t>
      </w:r>
      <w:r w:rsidR="008A3F26">
        <w:rPr>
          <w:rFonts w:ascii="Palatino Linotype" w:eastAsia="Calibri" w:hAnsi="Palatino Linotype" w:cs="Tahoma"/>
          <w:iCs/>
          <w:sz w:val="22"/>
          <w:szCs w:val="22"/>
          <w:lang w:val="es-ES" w:eastAsia="es-ES_tradnl"/>
        </w:rPr>
        <w:t>el P</w:t>
      </w:r>
      <w:r w:rsidR="008A3F26" w:rsidRPr="00140A9A">
        <w:rPr>
          <w:rFonts w:ascii="Palatino Linotype" w:eastAsia="Calibri" w:hAnsi="Palatino Linotype" w:cs="Tahoma"/>
          <w:iCs/>
          <w:sz w:val="22"/>
          <w:szCs w:val="22"/>
          <w:lang w:val="es-ES" w:eastAsia="es-ES_tradnl"/>
        </w:rPr>
        <w:t xml:space="preserve">articular presentó </w:t>
      </w:r>
      <w:r w:rsidR="008A3F26">
        <w:rPr>
          <w:rFonts w:ascii="Palatino Linotype" w:eastAsia="Calibri" w:hAnsi="Palatino Linotype" w:cs="Tahoma"/>
          <w:iCs/>
          <w:sz w:val="22"/>
          <w:szCs w:val="22"/>
          <w:lang w:val="es-ES" w:eastAsia="es-ES_tradnl"/>
        </w:rPr>
        <w:t>R</w:t>
      </w:r>
      <w:r w:rsidR="008A3F26" w:rsidRPr="00140A9A">
        <w:rPr>
          <w:rFonts w:ascii="Palatino Linotype" w:eastAsia="Calibri" w:hAnsi="Palatino Linotype" w:cs="Tahoma"/>
          <w:iCs/>
          <w:sz w:val="22"/>
          <w:szCs w:val="22"/>
          <w:lang w:val="es-ES" w:eastAsia="es-ES_tradnl"/>
        </w:rPr>
        <w:t xml:space="preserve">ecurso de </w:t>
      </w:r>
      <w:r w:rsidR="008A3F26">
        <w:rPr>
          <w:rFonts w:ascii="Palatino Linotype" w:eastAsia="Calibri" w:hAnsi="Palatino Linotype" w:cs="Tahoma"/>
          <w:iCs/>
          <w:sz w:val="22"/>
          <w:szCs w:val="22"/>
          <w:lang w:val="es-ES" w:eastAsia="es-ES_tradnl"/>
        </w:rPr>
        <w:t>R</w:t>
      </w:r>
      <w:r w:rsidR="008A3F26" w:rsidRPr="00140A9A">
        <w:rPr>
          <w:rFonts w:ascii="Palatino Linotype" w:eastAsia="Calibri" w:hAnsi="Palatino Linotype" w:cs="Tahoma"/>
          <w:iCs/>
          <w:sz w:val="22"/>
          <w:szCs w:val="22"/>
          <w:lang w:val="es-ES" w:eastAsia="es-ES_tradnl"/>
        </w:rPr>
        <w:t xml:space="preserve">evisión ante este Instituto, en el que manifestó como agravio la </w:t>
      </w:r>
      <w:r>
        <w:rPr>
          <w:rFonts w:ascii="Palatino Linotype" w:eastAsia="Calibri" w:hAnsi="Palatino Linotype" w:cs="Tahoma"/>
          <w:iCs/>
          <w:sz w:val="22"/>
          <w:szCs w:val="22"/>
          <w:lang w:val="es-ES" w:eastAsia="es-ES_tradnl"/>
        </w:rPr>
        <w:t>negativa a la información solicitada y argumentó de manera medular, lo siguiente:</w:t>
      </w:r>
    </w:p>
    <w:p w:rsidR="00F71280" w:rsidRDefault="00F71280" w:rsidP="008A3F26">
      <w:pPr>
        <w:tabs>
          <w:tab w:val="left" w:pos="4962"/>
        </w:tabs>
        <w:spacing w:line="360" w:lineRule="auto"/>
        <w:jc w:val="both"/>
        <w:rPr>
          <w:rFonts w:ascii="Palatino Linotype" w:eastAsia="Calibri" w:hAnsi="Palatino Linotype" w:cs="Tahoma"/>
          <w:iCs/>
          <w:sz w:val="22"/>
          <w:szCs w:val="22"/>
          <w:lang w:val="es-ES" w:eastAsia="es-ES_tradnl"/>
        </w:rPr>
      </w:pPr>
    </w:p>
    <w:p w:rsidR="00F71280" w:rsidRDefault="00F71280" w:rsidP="00F71280">
      <w:pPr>
        <w:tabs>
          <w:tab w:val="left" w:pos="4962"/>
        </w:tabs>
        <w:spacing w:line="360" w:lineRule="auto"/>
        <w:ind w:left="567" w:right="567"/>
        <w:jc w:val="both"/>
        <w:rPr>
          <w:rFonts w:ascii="Palatino Linotype" w:eastAsia="Calibri" w:hAnsi="Palatino Linotype" w:cs="Tahoma"/>
          <w:iCs/>
          <w:sz w:val="22"/>
          <w:szCs w:val="22"/>
          <w:lang w:val="es-ES" w:eastAsia="es-ES_tradnl"/>
        </w:rPr>
      </w:pPr>
      <w:r>
        <w:rPr>
          <w:rFonts w:ascii="Palatino Linotype" w:eastAsia="Calibri" w:hAnsi="Palatino Linotype" w:cs="Tahoma"/>
          <w:bCs/>
          <w:lang w:eastAsia="en-US"/>
        </w:rPr>
        <w:t xml:space="preserve">… </w:t>
      </w:r>
      <w:r w:rsidRPr="000A45D9">
        <w:rPr>
          <w:rFonts w:ascii="Palatino Linotype" w:eastAsia="Calibri" w:hAnsi="Palatino Linotype" w:cs="Tahoma"/>
          <w:bCs/>
          <w:lang w:eastAsia="en-US"/>
        </w:rPr>
        <w:t>que lo solicitado en mi petición está establecido como obligaciones en la nueva Ley de Seguridad Social publicada en el periódico oficial Gaceta del Gobierno el 10 de agosto de 2018 y que entrará según en vigor el primero de enero próximo. Es evidente la falta de atención a la solicitud considerando que con un criterio pretenden evadir y atender lo requerido, obstaculizando el derecho como servidores públicos y ciudadanos a conocer lo que representa y las consecuencias de la nueva Ley</w:t>
      </w:r>
      <w:r>
        <w:rPr>
          <w:rFonts w:ascii="Palatino Linotype" w:eastAsia="Calibri" w:hAnsi="Palatino Linotype" w:cs="Tahoma"/>
          <w:bCs/>
          <w:lang w:eastAsia="en-US"/>
        </w:rPr>
        <w:t>…</w:t>
      </w:r>
    </w:p>
    <w:p w:rsidR="008A3F26" w:rsidRDefault="008A3F26" w:rsidP="00F71280">
      <w:pPr>
        <w:tabs>
          <w:tab w:val="left" w:pos="4962"/>
        </w:tabs>
        <w:spacing w:line="360" w:lineRule="auto"/>
        <w:ind w:left="567" w:right="567"/>
        <w:jc w:val="both"/>
        <w:rPr>
          <w:rFonts w:ascii="Palatino Linotype" w:eastAsia="Calibri" w:hAnsi="Palatino Linotype" w:cs="Tahoma"/>
          <w:iCs/>
          <w:sz w:val="22"/>
          <w:szCs w:val="22"/>
          <w:lang w:val="es-ES" w:eastAsia="es-ES_tradnl"/>
        </w:rPr>
      </w:pPr>
    </w:p>
    <w:p w:rsidR="00F71280" w:rsidRPr="008A3F26" w:rsidRDefault="008A3F26" w:rsidP="00F71280">
      <w:pPr>
        <w:spacing w:line="360" w:lineRule="auto"/>
        <w:jc w:val="both"/>
        <w:rPr>
          <w:rFonts w:ascii="Palatino Linotype" w:eastAsia="Calibri" w:hAnsi="Palatino Linotype" w:cs="Tahoma"/>
          <w:bCs/>
          <w:iCs/>
          <w:color w:val="000000"/>
          <w:sz w:val="22"/>
          <w:szCs w:val="22"/>
          <w:lang w:eastAsia="es-ES_tradnl"/>
        </w:rPr>
      </w:pPr>
      <w:r>
        <w:rPr>
          <w:rFonts w:ascii="Palatino Linotype" w:eastAsia="Calibri" w:hAnsi="Palatino Linotype" w:cs="Tahoma"/>
          <w:iCs/>
          <w:sz w:val="22"/>
          <w:szCs w:val="22"/>
          <w:lang w:val="es-ES" w:eastAsia="es-ES_tradnl"/>
        </w:rPr>
        <w:t xml:space="preserve">No obstante, es menester señalar que a través de la presentación de su Informe Justificado, el Sujeto Obligado </w:t>
      </w:r>
      <w:r w:rsidR="00F71280">
        <w:rPr>
          <w:rFonts w:ascii="Palatino Linotype" w:eastAsia="Calibri" w:hAnsi="Palatino Linotype" w:cs="Tahoma"/>
          <w:bCs/>
          <w:color w:val="000000"/>
          <w:sz w:val="22"/>
          <w:szCs w:val="22"/>
          <w:lang w:eastAsia="es-ES_tradnl"/>
        </w:rPr>
        <w:t xml:space="preserve">informó </w:t>
      </w:r>
      <w:r w:rsidR="00F71280" w:rsidRPr="008A3F26">
        <w:rPr>
          <w:rFonts w:ascii="Palatino Linotype" w:eastAsia="Calibri" w:hAnsi="Palatino Linotype" w:cs="Tahoma"/>
          <w:bCs/>
          <w:iCs/>
          <w:color w:val="000000"/>
          <w:sz w:val="22"/>
          <w:szCs w:val="22"/>
          <w:lang w:eastAsia="es-ES_tradnl"/>
        </w:rPr>
        <w:t xml:space="preserve">que el Decreto 317, de la H. LIX Legislatura del Estado de México, </w:t>
      </w:r>
      <w:r w:rsidR="00F91CC8">
        <w:rPr>
          <w:rFonts w:ascii="Palatino Linotype" w:eastAsia="Calibri" w:hAnsi="Palatino Linotype" w:cs="Tahoma"/>
          <w:bCs/>
          <w:iCs/>
          <w:color w:val="000000"/>
          <w:sz w:val="22"/>
          <w:szCs w:val="22"/>
          <w:lang w:eastAsia="es-ES_tradnl"/>
        </w:rPr>
        <w:t xml:space="preserve">mediante el cual se aprobó </w:t>
      </w:r>
      <w:r w:rsidR="00F91CC8" w:rsidRPr="008A3F26">
        <w:rPr>
          <w:rFonts w:ascii="Palatino Linotype" w:eastAsia="Calibri" w:hAnsi="Palatino Linotype" w:cs="Tahoma"/>
          <w:bCs/>
          <w:iCs/>
          <w:sz w:val="22"/>
          <w:szCs w:val="22"/>
          <w:lang w:eastAsia="es-ES_tradnl"/>
        </w:rPr>
        <w:t>Ley de Seguridad Social para los Servidores Públicos del Estado de México y Municipios</w:t>
      </w:r>
      <w:r w:rsidR="00F91CC8">
        <w:rPr>
          <w:rFonts w:ascii="Palatino Linotype" w:eastAsia="Calibri" w:hAnsi="Palatino Linotype" w:cs="Tahoma"/>
          <w:iCs/>
          <w:sz w:val="22"/>
          <w:szCs w:val="22"/>
          <w:lang w:eastAsia="es-ES_tradnl"/>
        </w:rPr>
        <w:t xml:space="preserve">, publicada en el Periódico Oficial “Gaceta del Gobierno” el diez de agosto de dos mil dieciocho, </w:t>
      </w:r>
      <w:r w:rsidR="00F71280" w:rsidRPr="008A3F26">
        <w:rPr>
          <w:rFonts w:ascii="Palatino Linotype" w:eastAsia="Calibri" w:hAnsi="Palatino Linotype" w:cs="Tahoma"/>
          <w:bCs/>
          <w:iCs/>
          <w:color w:val="000000"/>
          <w:sz w:val="22"/>
          <w:szCs w:val="22"/>
          <w:lang w:eastAsia="es-ES_tradnl"/>
        </w:rPr>
        <w:t xml:space="preserve">fue derogado, </w:t>
      </w:r>
      <w:r w:rsidR="00F91CC8">
        <w:rPr>
          <w:rFonts w:ascii="Palatino Linotype" w:eastAsia="Calibri" w:hAnsi="Palatino Linotype" w:cs="Tahoma"/>
          <w:bCs/>
          <w:iCs/>
          <w:color w:val="000000"/>
          <w:sz w:val="22"/>
          <w:szCs w:val="22"/>
          <w:lang w:eastAsia="es-ES_tradnl"/>
        </w:rPr>
        <w:t xml:space="preserve">por lo que constituye </w:t>
      </w:r>
      <w:r w:rsidR="00F71280" w:rsidRPr="008A3F26">
        <w:rPr>
          <w:rFonts w:ascii="Palatino Linotype" w:eastAsia="Calibri" w:hAnsi="Palatino Linotype" w:cs="Tahoma"/>
          <w:bCs/>
          <w:iCs/>
          <w:color w:val="000000"/>
          <w:sz w:val="22"/>
          <w:szCs w:val="22"/>
          <w:lang w:eastAsia="es-ES_tradnl"/>
        </w:rPr>
        <w:t xml:space="preserve">un hecho notorio que la información para su implementación no podrá generarse, ni </w:t>
      </w:r>
      <w:r w:rsidR="00F71280">
        <w:rPr>
          <w:rFonts w:ascii="Palatino Linotype" w:eastAsia="Calibri" w:hAnsi="Palatino Linotype" w:cs="Tahoma"/>
          <w:bCs/>
          <w:iCs/>
          <w:color w:val="000000"/>
          <w:sz w:val="22"/>
          <w:szCs w:val="22"/>
          <w:lang w:eastAsia="es-ES_tradnl"/>
        </w:rPr>
        <w:t>el Sujeto Obligado</w:t>
      </w:r>
      <w:r w:rsidR="00F71280" w:rsidRPr="008A3F26">
        <w:rPr>
          <w:rFonts w:ascii="Palatino Linotype" w:eastAsia="Calibri" w:hAnsi="Palatino Linotype" w:cs="Tahoma"/>
          <w:bCs/>
          <w:iCs/>
          <w:color w:val="000000"/>
          <w:sz w:val="22"/>
          <w:szCs w:val="22"/>
          <w:lang w:eastAsia="es-ES_tradnl"/>
        </w:rPr>
        <w:t xml:space="preserve"> se encuentra </w:t>
      </w:r>
      <w:r w:rsidR="00F71280">
        <w:rPr>
          <w:rFonts w:ascii="Palatino Linotype" w:eastAsia="Calibri" w:hAnsi="Palatino Linotype" w:cs="Tahoma"/>
          <w:bCs/>
          <w:iCs/>
          <w:color w:val="000000"/>
          <w:sz w:val="22"/>
          <w:szCs w:val="22"/>
          <w:lang w:eastAsia="es-ES_tradnl"/>
        </w:rPr>
        <w:t>constreñido</w:t>
      </w:r>
      <w:r w:rsidR="00F71280" w:rsidRPr="008A3F26">
        <w:rPr>
          <w:rFonts w:ascii="Palatino Linotype" w:eastAsia="Calibri" w:hAnsi="Palatino Linotype" w:cs="Tahoma"/>
          <w:bCs/>
          <w:iCs/>
          <w:color w:val="000000"/>
          <w:sz w:val="22"/>
          <w:szCs w:val="22"/>
          <w:lang w:eastAsia="es-ES_tradnl"/>
        </w:rPr>
        <w:t xml:space="preserve"> a presentarla</w:t>
      </w:r>
      <w:r w:rsidR="00F71280" w:rsidRPr="00AF6580">
        <w:rPr>
          <w:rFonts w:ascii="Palatino Linotype" w:eastAsia="Calibri" w:hAnsi="Palatino Linotype" w:cs="Tahoma"/>
          <w:bCs/>
          <w:color w:val="000000"/>
          <w:sz w:val="22"/>
          <w:szCs w:val="22"/>
          <w:lang w:eastAsia="es-ES_tradnl"/>
        </w:rPr>
        <w:t>.</w:t>
      </w:r>
    </w:p>
    <w:p w:rsidR="008A3F26" w:rsidRDefault="008A3F26" w:rsidP="00F71280">
      <w:pPr>
        <w:tabs>
          <w:tab w:val="left" w:pos="4962"/>
        </w:tabs>
        <w:spacing w:line="360" w:lineRule="auto"/>
        <w:jc w:val="both"/>
        <w:rPr>
          <w:rFonts w:ascii="Palatino Linotype" w:eastAsia="Calibri" w:hAnsi="Palatino Linotype" w:cs="Tahoma"/>
          <w:iCs/>
          <w:sz w:val="22"/>
          <w:szCs w:val="22"/>
          <w:lang w:eastAsia="es-ES_tradnl"/>
        </w:rPr>
      </w:pPr>
    </w:p>
    <w:p w:rsidR="00F71280" w:rsidRDefault="00F71280"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este sentido, a efecto de constatar los argumentos vertidos por el Sujeto Obligado en </w:t>
      </w:r>
      <w:r w:rsidR="002B6307">
        <w:rPr>
          <w:rFonts w:ascii="Palatino Linotype" w:eastAsia="Calibri" w:hAnsi="Palatino Linotype" w:cs="Tahoma"/>
          <w:iCs/>
          <w:sz w:val="22"/>
          <w:szCs w:val="22"/>
          <w:lang w:eastAsia="es-ES_tradnl"/>
        </w:rPr>
        <w:t>su</w:t>
      </w:r>
      <w:r>
        <w:rPr>
          <w:rFonts w:ascii="Palatino Linotype" w:eastAsia="Calibri" w:hAnsi="Palatino Linotype" w:cs="Tahoma"/>
          <w:iCs/>
          <w:sz w:val="22"/>
          <w:szCs w:val="22"/>
          <w:lang w:eastAsia="es-ES_tradnl"/>
        </w:rPr>
        <w:t xml:space="preserve"> Informe de Justificación, este Instituto llevó a cabo la revisión del Decreto Número 317</w:t>
      </w:r>
      <w:r w:rsidR="002B6307">
        <w:rPr>
          <w:rFonts w:ascii="Palatino Linotype" w:eastAsia="Calibri" w:hAnsi="Palatino Linotype" w:cs="Tahoma"/>
          <w:iCs/>
          <w:sz w:val="22"/>
          <w:szCs w:val="22"/>
          <w:lang w:eastAsia="es-ES_tradnl"/>
        </w:rPr>
        <w:t>, y constató lo siguiente:</w:t>
      </w:r>
    </w:p>
    <w:p w:rsidR="002B6307" w:rsidRDefault="002B6307" w:rsidP="008A3F26">
      <w:pPr>
        <w:tabs>
          <w:tab w:val="left" w:pos="4667"/>
        </w:tabs>
        <w:spacing w:line="360" w:lineRule="auto"/>
        <w:jc w:val="both"/>
        <w:rPr>
          <w:rFonts w:ascii="Palatino Linotype" w:eastAsia="Calibri" w:hAnsi="Palatino Linotype" w:cs="Tahoma"/>
          <w:iCs/>
          <w:sz w:val="22"/>
          <w:szCs w:val="22"/>
          <w:lang w:eastAsia="es-ES_tradnl"/>
        </w:rPr>
      </w:pPr>
    </w:p>
    <w:p w:rsidR="002B6307" w:rsidRDefault="00D67428"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En la liga electrónica </w:t>
      </w:r>
      <w:hyperlink r:id="rId12" w:history="1">
        <w:r w:rsidRPr="00D70A6D">
          <w:rPr>
            <w:rStyle w:val="Hipervnculo"/>
            <w:rFonts w:ascii="Palatino Linotype" w:eastAsia="Calibri" w:hAnsi="Palatino Linotype" w:cs="Tahoma"/>
            <w:iCs/>
            <w:sz w:val="22"/>
            <w:szCs w:val="22"/>
            <w:lang w:eastAsia="es-ES_tradnl"/>
          </w:rPr>
          <w:t>http://legislacion.edomex.gob.mx/decretos_del_legislativo</w:t>
        </w:r>
      </w:hyperlink>
      <w:r>
        <w:rPr>
          <w:rFonts w:ascii="Palatino Linotype" w:eastAsia="Calibri" w:hAnsi="Palatino Linotype" w:cs="Tahoma"/>
          <w:iCs/>
          <w:sz w:val="22"/>
          <w:szCs w:val="22"/>
          <w:lang w:eastAsia="es-ES_tradnl"/>
        </w:rPr>
        <w:t xml:space="preserve"> se encuentran publicadas </w:t>
      </w:r>
      <w:r w:rsidRPr="00D67428">
        <w:rPr>
          <w:rFonts w:ascii="Palatino Linotype" w:eastAsia="Calibri" w:hAnsi="Palatino Linotype" w:cs="Tahoma"/>
          <w:iCs/>
          <w:sz w:val="22"/>
          <w:szCs w:val="22"/>
          <w:lang w:eastAsia="es-ES_tradnl"/>
        </w:rPr>
        <w:t>las resoluciones aprobadas por las diputadas y los diputados integrantes de la Legislatura del Estado, promulgadas y publicadas por el Titular</w:t>
      </w:r>
      <w:r>
        <w:rPr>
          <w:rFonts w:ascii="Palatino Linotype" w:eastAsia="Calibri" w:hAnsi="Palatino Linotype" w:cs="Tahoma"/>
          <w:iCs/>
          <w:sz w:val="22"/>
          <w:szCs w:val="22"/>
          <w:lang w:eastAsia="es-ES_tradnl"/>
        </w:rPr>
        <w:t xml:space="preserve"> del Poder Ejecutivo del Estado, a través de la emisión de Decretos.</w:t>
      </w:r>
    </w:p>
    <w:p w:rsidR="00D67428" w:rsidRDefault="00D67428" w:rsidP="008A3F26">
      <w:pPr>
        <w:tabs>
          <w:tab w:val="left" w:pos="4667"/>
        </w:tabs>
        <w:spacing w:line="360" w:lineRule="auto"/>
        <w:jc w:val="both"/>
        <w:rPr>
          <w:rFonts w:ascii="Palatino Linotype" w:eastAsia="Calibri" w:hAnsi="Palatino Linotype" w:cs="Tahoma"/>
          <w:iCs/>
          <w:sz w:val="22"/>
          <w:szCs w:val="22"/>
          <w:lang w:eastAsia="es-ES_tradnl"/>
        </w:rPr>
      </w:pPr>
    </w:p>
    <w:p w:rsidR="00D67428" w:rsidRPr="00D67428" w:rsidRDefault="00D67428"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la revisión a la información descrita en el párrafo que antecede, se advierte que en fecha treinta y uno de diciembre de dos mil dieciocho, el Gobernador del Estado de México, Titular del Poder Ejecutivo, emitió el </w:t>
      </w:r>
      <w:hyperlink r:id="rId13" w:tgtFrame="_blank" w:history="1">
        <w:r>
          <w:rPr>
            <w:rStyle w:val="Hipervnculo"/>
            <w:rFonts w:ascii="Palatino Linotype" w:eastAsia="Calibri" w:hAnsi="Palatino Linotype" w:cs="Tahoma"/>
            <w:iCs/>
            <w:color w:val="auto"/>
            <w:sz w:val="22"/>
            <w:szCs w:val="22"/>
            <w:lang w:eastAsia="es-ES_tradnl"/>
          </w:rPr>
          <w:t>Decreto número 9,</w:t>
        </w:r>
        <w:r w:rsidRPr="00D67428">
          <w:rPr>
            <w:rStyle w:val="Hipervnculo"/>
            <w:rFonts w:ascii="Palatino Linotype" w:eastAsia="Calibri" w:hAnsi="Palatino Linotype" w:cs="Tahoma"/>
            <w:iCs/>
            <w:color w:val="auto"/>
            <w:sz w:val="22"/>
            <w:szCs w:val="22"/>
            <w:lang w:eastAsia="es-ES_tradnl"/>
          </w:rPr>
          <w:t xml:space="preserve"> por el que se abroga el Decreto Número 317, de la H. “LIX” Legislatura del Estado de México, mediante el cual se expide la Ley de Seguridad Social para los Servidores Públicos del Estado de México y Municipios, publicado en la Gaceta del Gobierno el día 10 de agosto de 2018.</w:t>
        </w:r>
      </w:hyperlink>
    </w:p>
    <w:p w:rsidR="00D67428" w:rsidRDefault="00D67428" w:rsidP="008A3F26">
      <w:pPr>
        <w:tabs>
          <w:tab w:val="left" w:pos="4667"/>
        </w:tabs>
        <w:spacing w:line="360" w:lineRule="auto"/>
        <w:jc w:val="both"/>
        <w:rPr>
          <w:rFonts w:ascii="Palatino Linotype" w:eastAsia="Calibri" w:hAnsi="Palatino Linotype" w:cs="Tahoma"/>
          <w:iCs/>
          <w:sz w:val="22"/>
          <w:szCs w:val="22"/>
          <w:lang w:eastAsia="es-ES_tradnl"/>
        </w:rPr>
      </w:pPr>
    </w:p>
    <w:p w:rsidR="00F71280" w:rsidRDefault="00694021"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68480" behindDoc="0" locked="0" layoutInCell="1" allowOverlap="1">
                <wp:simplePos x="0" y="0"/>
                <wp:positionH relativeFrom="column">
                  <wp:posOffset>191770</wp:posOffset>
                </wp:positionH>
                <wp:positionV relativeFrom="paragraph">
                  <wp:posOffset>2973705</wp:posOffset>
                </wp:positionV>
                <wp:extent cx="5600700" cy="9144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6007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06D15F" id="Conector recto 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5.1pt,234.15pt" to="456.1pt,3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" strokecolor="#4472c4 [3204]" strokeweight=".5pt">
                <v:stroke joinstyle="miter"/>
              </v:line>
            </w:pict>
          </mc:Fallback>
        </mc:AlternateContent>
      </w:r>
      <w:r w:rsidR="00D67428">
        <w:rPr>
          <w:rFonts w:ascii="Palatino Linotype" w:eastAsia="Calibri" w:hAnsi="Palatino Linotype" w:cs="Tahoma"/>
          <w:iCs/>
          <w:sz w:val="22"/>
          <w:szCs w:val="22"/>
          <w:lang w:eastAsia="es-ES_tradnl"/>
        </w:rPr>
        <w:t xml:space="preserve">El artículo único del Decreto referido, determina que se </w:t>
      </w:r>
      <w:r w:rsidR="00D67428" w:rsidRPr="00D67428">
        <w:rPr>
          <w:rFonts w:ascii="Palatino Linotype" w:eastAsia="Calibri" w:hAnsi="Palatino Linotype" w:cs="Tahoma"/>
          <w:iCs/>
          <w:sz w:val="22"/>
          <w:szCs w:val="22"/>
          <w:lang w:eastAsia="es-ES_tradnl"/>
        </w:rPr>
        <w:t>abroga el Decreto número 317, de la H. “LIX” Legislatura del Estado de México, mediante el cual se expide la Ley de Seguridad Social para los Servidores Públicos del Estado de México y Municipios, publicado en la Gaceta del Gobie</w:t>
      </w:r>
      <w:r w:rsidR="00D67428">
        <w:rPr>
          <w:rFonts w:ascii="Palatino Linotype" w:eastAsia="Calibri" w:hAnsi="Palatino Linotype" w:cs="Tahoma"/>
          <w:iCs/>
          <w:sz w:val="22"/>
          <w:szCs w:val="22"/>
          <w:lang w:eastAsia="es-ES_tradnl"/>
        </w:rPr>
        <w:t xml:space="preserve">rno el día 10 de agosto de 2018, </w:t>
      </w:r>
      <w:r w:rsidR="00AF5445">
        <w:rPr>
          <w:rFonts w:ascii="Palatino Linotype" w:eastAsia="Calibri" w:hAnsi="Palatino Linotype" w:cs="Tahoma"/>
          <w:iCs/>
          <w:sz w:val="22"/>
          <w:szCs w:val="22"/>
          <w:lang w:eastAsia="es-ES_tradnl"/>
        </w:rPr>
        <w:t xml:space="preserve">asimismo, el artículo Transitorio Primero establece que el Decreto número 9, </w:t>
      </w:r>
      <w:r w:rsidR="00AF5445" w:rsidRPr="00AF5445">
        <w:rPr>
          <w:rFonts w:ascii="Palatino Linotype" w:eastAsia="Calibri" w:hAnsi="Palatino Linotype" w:cs="Tahoma"/>
          <w:iCs/>
          <w:sz w:val="22"/>
          <w:szCs w:val="22"/>
          <w:lang w:eastAsia="es-ES_tradnl"/>
        </w:rPr>
        <w:t>entrará en vigor al día siguiente de su publicación en la “Gaceta del Gobierno” del Es</w:t>
      </w:r>
      <w:r w:rsidR="00AF5445">
        <w:rPr>
          <w:rFonts w:ascii="Palatino Linotype" w:eastAsia="Calibri" w:hAnsi="Palatino Linotype" w:cs="Tahoma"/>
          <w:iCs/>
          <w:sz w:val="22"/>
          <w:szCs w:val="22"/>
          <w:lang w:eastAsia="es-ES_tradnl"/>
        </w:rPr>
        <w:t xml:space="preserve">tado Libre y Soberano de México, y, el Transitorio Segundo determina que </w:t>
      </w:r>
      <w:r w:rsidR="00AF5445" w:rsidRPr="00AF5445">
        <w:rPr>
          <w:rFonts w:ascii="Palatino Linotype" w:eastAsia="Calibri" w:hAnsi="Palatino Linotype" w:cs="Tahoma"/>
          <w:b/>
          <w:iCs/>
          <w:sz w:val="22"/>
          <w:szCs w:val="22"/>
          <w:u w:val="single"/>
          <w:lang w:eastAsia="es-ES_tradnl"/>
        </w:rPr>
        <w:t>se abroga la Ley de Seguridad Social para los Servidores Públicos del Estado de México y Municipios</w:t>
      </w:r>
      <w:r w:rsidR="00AF5445" w:rsidRPr="00AF5445">
        <w:rPr>
          <w:rFonts w:ascii="Palatino Linotype" w:eastAsia="Calibri" w:hAnsi="Palatino Linotype" w:cs="Tahoma"/>
          <w:iCs/>
          <w:sz w:val="22"/>
          <w:szCs w:val="22"/>
          <w:lang w:eastAsia="es-ES_tradnl"/>
        </w:rPr>
        <w:t xml:space="preserve">, expedida mediante dicho decreto por la H. “LIX” Legislatura del Estado de México, </w:t>
      </w:r>
      <w:r w:rsidR="00AF5445" w:rsidRPr="00AF5445">
        <w:rPr>
          <w:rFonts w:ascii="Palatino Linotype" w:eastAsia="Calibri" w:hAnsi="Palatino Linotype" w:cs="Tahoma"/>
          <w:b/>
          <w:iCs/>
          <w:sz w:val="22"/>
          <w:szCs w:val="22"/>
          <w:u w:val="single"/>
          <w:lang w:eastAsia="es-ES_tradnl"/>
        </w:rPr>
        <w:t>la cual estaba prevista para entrar en vigor el 1° de enero de 2019</w:t>
      </w:r>
      <w:r w:rsidR="00AF5445">
        <w:rPr>
          <w:rFonts w:ascii="Palatino Linotype" w:eastAsia="Calibri" w:hAnsi="Palatino Linotype" w:cs="Tahoma"/>
          <w:iCs/>
          <w:sz w:val="22"/>
          <w:szCs w:val="22"/>
          <w:lang w:eastAsia="es-ES_tradnl"/>
        </w:rPr>
        <w:t>. Lo anterior</w:t>
      </w:r>
      <w:r w:rsidR="00D67428">
        <w:rPr>
          <w:rFonts w:ascii="Palatino Linotype" w:eastAsia="Calibri" w:hAnsi="Palatino Linotype" w:cs="Tahoma"/>
          <w:iCs/>
          <w:sz w:val="22"/>
          <w:szCs w:val="22"/>
          <w:lang w:eastAsia="es-ES_tradnl"/>
        </w:rPr>
        <w:t xml:space="preserve"> se </w:t>
      </w:r>
      <w:r w:rsidR="00AF5445">
        <w:rPr>
          <w:rFonts w:ascii="Palatino Linotype" w:eastAsia="Calibri" w:hAnsi="Palatino Linotype" w:cs="Tahoma"/>
          <w:iCs/>
          <w:sz w:val="22"/>
          <w:szCs w:val="22"/>
          <w:lang w:eastAsia="es-ES_tradnl"/>
        </w:rPr>
        <w:t xml:space="preserve">puede </w:t>
      </w:r>
      <w:r w:rsidR="00D67428">
        <w:rPr>
          <w:rFonts w:ascii="Palatino Linotype" w:eastAsia="Calibri" w:hAnsi="Palatino Linotype" w:cs="Tahoma"/>
          <w:iCs/>
          <w:sz w:val="22"/>
          <w:szCs w:val="22"/>
          <w:lang w:eastAsia="es-ES_tradnl"/>
        </w:rPr>
        <w:t>aprecia</w:t>
      </w:r>
      <w:r w:rsidR="00AF5445">
        <w:rPr>
          <w:rFonts w:ascii="Palatino Linotype" w:eastAsia="Calibri" w:hAnsi="Palatino Linotype" w:cs="Tahoma"/>
          <w:iCs/>
          <w:sz w:val="22"/>
          <w:szCs w:val="22"/>
          <w:lang w:eastAsia="es-ES_tradnl"/>
        </w:rPr>
        <w:t>r</w:t>
      </w:r>
      <w:r w:rsidR="00D67428">
        <w:rPr>
          <w:rFonts w:ascii="Palatino Linotype" w:eastAsia="Calibri" w:hAnsi="Palatino Linotype" w:cs="Tahoma"/>
          <w:iCs/>
          <w:sz w:val="22"/>
          <w:szCs w:val="22"/>
          <w:lang w:eastAsia="es-ES_tradnl"/>
        </w:rPr>
        <w:t xml:space="preserve"> en la imagen siguiente:</w:t>
      </w:r>
    </w:p>
    <w:p w:rsidR="00D67428" w:rsidRDefault="00AF5445" w:rsidP="00D67428">
      <w:pPr>
        <w:tabs>
          <w:tab w:val="left" w:pos="4667"/>
        </w:tabs>
        <w:spacing w:line="360" w:lineRule="auto"/>
        <w:jc w:val="center"/>
        <w:rPr>
          <w:rFonts w:ascii="Palatino Linotype" w:eastAsia="Calibri" w:hAnsi="Palatino Linotype" w:cs="Tahoma"/>
          <w:iCs/>
          <w:sz w:val="22"/>
          <w:szCs w:val="22"/>
          <w:lang w:eastAsia="es-ES_tradnl"/>
        </w:rPr>
      </w:pPr>
      <w:r>
        <w:rPr>
          <w:noProof/>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391795</wp:posOffset>
                </wp:positionH>
                <wp:positionV relativeFrom="paragraph">
                  <wp:posOffset>1640205</wp:posOffset>
                </wp:positionV>
                <wp:extent cx="4982210" cy="390525"/>
                <wp:effectExtent l="19050" t="19050" r="27940" b="28575"/>
                <wp:wrapNone/>
                <wp:docPr id="2" name="Rectángulo 2"/>
                <wp:cNvGraphicFramePr/>
                <a:graphic xmlns:a="http://schemas.openxmlformats.org/drawingml/2006/main">
                  <a:graphicData uri="http://schemas.microsoft.com/office/word/2010/wordprocessingShape">
                    <wps:wsp>
                      <wps:cNvSpPr/>
                      <wps:spPr>
                        <a:xfrm>
                          <a:off x="0" y="0"/>
                          <a:ext cx="4982210" cy="39052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6765E" id="Rectángulo 2" o:spid="_x0000_s1026" style="position:absolute;margin-left:30.85pt;margin-top:129.15pt;width:392.3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" filled="f" strokecolor="#c00000" strokeweight="3pt"/>
            </w:pict>
          </mc:Fallback>
        </mc:AlternateContent>
      </w:r>
      <w:r>
        <w:rPr>
          <w:noProof/>
          <w:lang w:eastAsia="es-MX"/>
        </w:rPr>
        <mc:AlternateContent>
          <mc:Choice Requires="wps">
            <w:drawing>
              <wp:anchor distT="0" distB="0" distL="114300" distR="114300" simplePos="0" relativeHeight="251667456" behindDoc="0" locked="0" layoutInCell="1" allowOverlap="1" wp14:anchorId="00E900A0" wp14:editId="05C9A969">
                <wp:simplePos x="0" y="0"/>
                <wp:positionH relativeFrom="margin">
                  <wp:posOffset>391795</wp:posOffset>
                </wp:positionH>
                <wp:positionV relativeFrom="paragraph">
                  <wp:posOffset>2249804</wp:posOffset>
                </wp:positionV>
                <wp:extent cx="4982210" cy="847725"/>
                <wp:effectExtent l="19050" t="19050" r="27940" b="28575"/>
                <wp:wrapNone/>
                <wp:docPr id="3" name="Rectángulo 3"/>
                <wp:cNvGraphicFramePr/>
                <a:graphic xmlns:a="http://schemas.openxmlformats.org/drawingml/2006/main">
                  <a:graphicData uri="http://schemas.microsoft.com/office/word/2010/wordprocessingShape">
                    <wps:wsp>
                      <wps:cNvSpPr/>
                      <wps:spPr>
                        <a:xfrm>
                          <a:off x="0" y="0"/>
                          <a:ext cx="4982210" cy="84772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AD32EB" id="Rectángulo 3" o:spid="_x0000_s1026" style="position:absolute;margin-left:30.85pt;margin-top:177.15pt;width:392.3pt;height:6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" filled="f" strokecolor="#c00000" strokeweight="3pt">
                <w10:wrap anchorx="margin"/>
              </v:rect>
            </w:pict>
          </mc:Fallback>
        </mc:AlternateContent>
      </w:r>
      <w:r w:rsidR="00D67428">
        <w:rPr>
          <w:noProof/>
          <w:lang w:eastAsia="es-MX"/>
        </w:rPr>
        <w:drawing>
          <wp:inline distT="0" distB="0" distL="0" distR="0" wp14:anchorId="7269B3A4" wp14:editId="40611E3B">
            <wp:extent cx="5011366" cy="5924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683" t="10910" r="31999" b="10654"/>
                    <a:stretch/>
                  </pic:blipFill>
                  <pic:spPr bwMode="auto">
                    <a:xfrm>
                      <a:off x="0" y="0"/>
                      <a:ext cx="5050627" cy="5970965"/>
                    </a:xfrm>
                    <a:prstGeom prst="rect">
                      <a:avLst/>
                    </a:prstGeom>
                    <a:ln>
                      <a:noFill/>
                    </a:ln>
                    <a:extLst>
                      <a:ext uri="{53640926-AAD7-44D8-BBD7-CCE9431645EC}">
                        <a14:shadowObscured xmlns:a14="http://schemas.microsoft.com/office/drawing/2010/main"/>
                      </a:ext>
                    </a:extLst>
                  </pic:spPr>
                </pic:pic>
              </a:graphicData>
            </a:graphic>
          </wp:inline>
        </w:drawing>
      </w:r>
    </w:p>
    <w:p w:rsidR="00AF5445" w:rsidRDefault="00AF5445" w:rsidP="008A3F26">
      <w:pPr>
        <w:tabs>
          <w:tab w:val="left" w:pos="4667"/>
        </w:tabs>
        <w:spacing w:line="360" w:lineRule="auto"/>
        <w:jc w:val="both"/>
        <w:rPr>
          <w:rFonts w:ascii="Palatino Linotype" w:eastAsia="Calibri" w:hAnsi="Palatino Linotype" w:cs="Tahoma"/>
          <w:iCs/>
          <w:sz w:val="22"/>
          <w:szCs w:val="22"/>
          <w:lang w:eastAsia="es-ES_tradnl"/>
        </w:rPr>
      </w:pPr>
    </w:p>
    <w:p w:rsidR="008A3F26" w:rsidRDefault="00AF5445" w:rsidP="008A3F26">
      <w:pPr>
        <w:tabs>
          <w:tab w:val="left" w:pos="4667"/>
        </w:tabs>
        <w:spacing w:line="360" w:lineRule="auto"/>
        <w:jc w:val="both"/>
        <w:rPr>
          <w:rFonts w:ascii="Palatino Linotype" w:eastAsia="Calibri" w:hAnsi="Palatino Linotype" w:cs="Tahoma"/>
          <w:b/>
          <w:iCs/>
          <w:sz w:val="22"/>
          <w:szCs w:val="22"/>
          <w:u w:val="single"/>
          <w:lang w:eastAsia="es-ES_tradnl"/>
        </w:rPr>
      </w:pPr>
      <w:r>
        <w:rPr>
          <w:rFonts w:ascii="Palatino Linotype" w:eastAsia="Calibri" w:hAnsi="Palatino Linotype" w:cs="Tahoma"/>
          <w:iCs/>
          <w:sz w:val="22"/>
          <w:szCs w:val="22"/>
          <w:lang w:eastAsia="es-ES_tradnl"/>
        </w:rPr>
        <w:t xml:space="preserve">En este sentido, se confirma lo manifestado por el Sujeto Obligado referente a la </w:t>
      </w:r>
      <w:r w:rsidRPr="00AF5445">
        <w:rPr>
          <w:rFonts w:ascii="Palatino Linotype" w:eastAsia="Calibri" w:hAnsi="Palatino Linotype" w:cs="Tahoma"/>
          <w:b/>
          <w:iCs/>
          <w:sz w:val="22"/>
          <w:szCs w:val="22"/>
          <w:u w:val="single"/>
          <w:lang w:eastAsia="es-ES_tradnl"/>
        </w:rPr>
        <w:t xml:space="preserve">abrogación </w:t>
      </w:r>
      <w:r>
        <w:rPr>
          <w:rFonts w:ascii="Palatino Linotype" w:eastAsia="Calibri" w:hAnsi="Palatino Linotype" w:cs="Tahoma"/>
          <w:iCs/>
          <w:sz w:val="22"/>
          <w:szCs w:val="22"/>
          <w:lang w:eastAsia="es-ES_tradnl"/>
        </w:rPr>
        <w:t xml:space="preserve">de la </w:t>
      </w:r>
      <w:r w:rsidRPr="00AF5445">
        <w:rPr>
          <w:rFonts w:ascii="Palatino Linotype" w:eastAsia="Calibri" w:hAnsi="Palatino Linotype" w:cs="Tahoma"/>
          <w:b/>
          <w:iCs/>
          <w:sz w:val="22"/>
          <w:szCs w:val="22"/>
          <w:u w:val="single"/>
          <w:lang w:eastAsia="es-ES_tradnl"/>
        </w:rPr>
        <w:t xml:space="preserve">Ley de Seguridad Social para los Servidores Públicos del Estado de México y </w:t>
      </w:r>
      <w:r w:rsidRPr="00AF5445">
        <w:rPr>
          <w:rFonts w:ascii="Palatino Linotype" w:eastAsia="Calibri" w:hAnsi="Palatino Linotype" w:cs="Tahoma"/>
          <w:b/>
          <w:iCs/>
          <w:sz w:val="22"/>
          <w:szCs w:val="22"/>
          <w:u w:val="single"/>
          <w:lang w:eastAsia="es-ES_tradnl"/>
        </w:rPr>
        <w:lastRenderedPageBreak/>
        <w:t>Municipios</w:t>
      </w:r>
      <w:r w:rsidRPr="00AF5445">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que se tenía</w:t>
      </w:r>
      <w:r w:rsidRPr="00AF5445">
        <w:rPr>
          <w:rFonts w:ascii="Palatino Linotype" w:eastAsia="Calibri" w:hAnsi="Palatino Linotype" w:cs="Tahoma"/>
          <w:b/>
          <w:iCs/>
          <w:sz w:val="22"/>
          <w:szCs w:val="22"/>
          <w:u w:val="single"/>
          <w:lang w:eastAsia="es-ES_tradnl"/>
        </w:rPr>
        <w:t xml:space="preserve"> prevista para entrar en vigor el </w:t>
      </w:r>
      <w:r w:rsidR="00F91CC8">
        <w:rPr>
          <w:rFonts w:ascii="Palatino Linotype" w:eastAsia="Calibri" w:hAnsi="Palatino Linotype" w:cs="Tahoma"/>
          <w:b/>
          <w:iCs/>
          <w:sz w:val="22"/>
          <w:szCs w:val="22"/>
          <w:u w:val="single"/>
          <w:lang w:eastAsia="es-ES_tradnl"/>
        </w:rPr>
        <w:t xml:space="preserve">primero </w:t>
      </w:r>
      <w:r w:rsidRPr="00AF5445">
        <w:rPr>
          <w:rFonts w:ascii="Palatino Linotype" w:eastAsia="Calibri" w:hAnsi="Palatino Linotype" w:cs="Tahoma"/>
          <w:b/>
          <w:iCs/>
          <w:sz w:val="22"/>
          <w:szCs w:val="22"/>
          <w:u w:val="single"/>
          <w:lang w:eastAsia="es-ES_tradnl"/>
        </w:rPr>
        <w:t xml:space="preserve">de enero de </w:t>
      </w:r>
      <w:r w:rsidR="00F91CC8">
        <w:rPr>
          <w:rFonts w:ascii="Palatino Linotype" w:eastAsia="Calibri" w:hAnsi="Palatino Linotype" w:cs="Tahoma"/>
          <w:b/>
          <w:iCs/>
          <w:sz w:val="22"/>
          <w:szCs w:val="22"/>
          <w:u w:val="single"/>
          <w:lang w:eastAsia="es-ES_tradnl"/>
        </w:rPr>
        <w:t>dos mil diecinueve</w:t>
      </w:r>
      <w:r>
        <w:rPr>
          <w:rFonts w:ascii="Palatino Linotype" w:eastAsia="Calibri" w:hAnsi="Palatino Linotype" w:cs="Tahoma"/>
          <w:b/>
          <w:iCs/>
          <w:sz w:val="22"/>
          <w:szCs w:val="22"/>
          <w:u w:val="single"/>
          <w:lang w:eastAsia="es-ES_tradnl"/>
        </w:rPr>
        <w:t>.</w:t>
      </w:r>
    </w:p>
    <w:p w:rsidR="00F91CC8" w:rsidRDefault="00F91CC8" w:rsidP="008A3F26">
      <w:pPr>
        <w:tabs>
          <w:tab w:val="left" w:pos="4667"/>
        </w:tabs>
        <w:spacing w:line="360" w:lineRule="auto"/>
        <w:jc w:val="both"/>
        <w:rPr>
          <w:rFonts w:ascii="Palatino Linotype" w:eastAsia="Calibri" w:hAnsi="Palatino Linotype" w:cs="Tahoma"/>
          <w:b/>
          <w:iCs/>
          <w:sz w:val="22"/>
          <w:szCs w:val="22"/>
          <w:u w:val="single"/>
          <w:lang w:eastAsia="es-ES_tradnl"/>
        </w:rPr>
      </w:pPr>
    </w:p>
    <w:p w:rsidR="00AF5445" w:rsidRDefault="0052523F"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cabe mencionar que acorde con el Diccionario de la lengua española, de la Real Academia Española, por abrogar se entiende </w:t>
      </w:r>
      <w:r>
        <w:rPr>
          <w:rFonts w:ascii="Palatino Linotype" w:eastAsia="Calibri" w:hAnsi="Palatino Linotype" w:cs="Tahoma"/>
          <w:i/>
          <w:iCs/>
          <w:sz w:val="22"/>
          <w:szCs w:val="22"/>
          <w:lang w:eastAsia="es-ES_tradnl"/>
        </w:rPr>
        <w:t xml:space="preserve">abolir </w:t>
      </w:r>
      <w:r>
        <w:rPr>
          <w:rFonts w:ascii="Palatino Linotype" w:eastAsia="Calibri" w:hAnsi="Palatino Linotype" w:cs="Tahoma"/>
          <w:iCs/>
          <w:sz w:val="22"/>
          <w:szCs w:val="22"/>
          <w:lang w:eastAsia="es-ES_tradnl"/>
        </w:rPr>
        <w:t>y,</w:t>
      </w:r>
      <w:r>
        <w:rPr>
          <w:rFonts w:ascii="Palatino Linotype" w:eastAsia="Calibri" w:hAnsi="Palatino Linotype" w:cs="Tahoma"/>
          <w:i/>
          <w:iCs/>
          <w:sz w:val="22"/>
          <w:szCs w:val="22"/>
          <w:lang w:eastAsia="es-ES_tradnl"/>
        </w:rPr>
        <w:t xml:space="preserve"> </w:t>
      </w:r>
      <w:r>
        <w:rPr>
          <w:rFonts w:ascii="Palatino Linotype" w:eastAsia="Calibri" w:hAnsi="Palatino Linotype" w:cs="Tahoma"/>
          <w:iCs/>
          <w:sz w:val="22"/>
          <w:szCs w:val="22"/>
          <w:lang w:eastAsia="es-ES_tradnl"/>
        </w:rPr>
        <w:t xml:space="preserve">por esta última, </w:t>
      </w:r>
      <w:r w:rsidRPr="0052523F">
        <w:rPr>
          <w:rFonts w:ascii="Palatino Linotype" w:eastAsia="Calibri" w:hAnsi="Palatino Linotype" w:cs="Tahoma"/>
          <w:iCs/>
          <w:sz w:val="22"/>
          <w:szCs w:val="22"/>
          <w:lang w:eastAsia="es-ES_tradnl"/>
        </w:rPr>
        <w:t>dejar</w:t>
      </w:r>
      <w:r w:rsidRPr="0052523F">
        <w:rPr>
          <w:rFonts w:ascii="Palatino Linotype" w:eastAsia="Calibri" w:hAnsi="Palatino Linotype" w:cs="Tahoma" w:hint="eastAsia"/>
          <w:iCs/>
          <w:sz w:val="22"/>
          <w:szCs w:val="22"/>
          <w:lang w:eastAsia="es-ES_tradnl"/>
        </w:rPr>
        <w:t> </w:t>
      </w:r>
      <w:r w:rsidRPr="0052523F">
        <w:rPr>
          <w:rFonts w:ascii="Palatino Linotype" w:eastAsia="Calibri" w:hAnsi="Palatino Linotype" w:cs="Tahoma"/>
          <w:iCs/>
          <w:sz w:val="22"/>
          <w:szCs w:val="22"/>
          <w:lang w:eastAsia="es-ES_tradnl"/>
        </w:rPr>
        <w:t>sin</w:t>
      </w:r>
      <w:r w:rsidRPr="0052523F">
        <w:rPr>
          <w:rFonts w:ascii="Palatino Linotype" w:eastAsia="Calibri" w:hAnsi="Palatino Linotype" w:cs="Tahoma" w:hint="eastAsia"/>
          <w:iCs/>
          <w:sz w:val="22"/>
          <w:szCs w:val="22"/>
          <w:lang w:eastAsia="es-ES_tradnl"/>
        </w:rPr>
        <w:t> </w:t>
      </w:r>
      <w:r w:rsidRPr="0052523F">
        <w:rPr>
          <w:rFonts w:ascii="Palatino Linotype" w:eastAsia="Calibri" w:hAnsi="Palatino Linotype" w:cs="Tahoma"/>
          <w:iCs/>
          <w:sz w:val="22"/>
          <w:szCs w:val="22"/>
          <w:lang w:eastAsia="es-ES_tradnl"/>
        </w:rPr>
        <w:t>vigencia</w:t>
      </w:r>
      <w:r w:rsidRPr="0052523F">
        <w:rPr>
          <w:rFonts w:ascii="Palatino Linotype" w:eastAsia="Calibri" w:hAnsi="Palatino Linotype" w:cs="Tahoma" w:hint="eastAsia"/>
          <w:iCs/>
          <w:sz w:val="22"/>
          <w:szCs w:val="22"/>
          <w:lang w:eastAsia="es-ES_tradnl"/>
        </w:rPr>
        <w:t> </w:t>
      </w:r>
      <w:r w:rsidRPr="0052523F">
        <w:rPr>
          <w:rFonts w:ascii="Palatino Linotype" w:eastAsia="Calibri" w:hAnsi="Palatino Linotype" w:cs="Tahoma"/>
          <w:iCs/>
          <w:sz w:val="22"/>
          <w:szCs w:val="22"/>
          <w:lang w:eastAsia="es-ES_tradnl"/>
        </w:rPr>
        <w:t>una</w:t>
      </w:r>
      <w:r w:rsidRPr="0052523F">
        <w:rPr>
          <w:rFonts w:ascii="Palatino Linotype" w:eastAsia="Calibri" w:hAnsi="Palatino Linotype" w:cs="Tahoma" w:hint="eastAsia"/>
          <w:iCs/>
          <w:sz w:val="22"/>
          <w:szCs w:val="22"/>
          <w:lang w:eastAsia="es-ES_tradnl"/>
        </w:rPr>
        <w:t> </w:t>
      </w:r>
      <w:r w:rsidRPr="0052523F">
        <w:rPr>
          <w:rFonts w:ascii="Palatino Linotype" w:eastAsia="Calibri" w:hAnsi="Palatino Linotype" w:cs="Tahoma"/>
          <w:iCs/>
          <w:sz w:val="22"/>
          <w:szCs w:val="22"/>
          <w:lang w:eastAsia="es-ES_tradnl"/>
        </w:rPr>
        <w:t>ley</w:t>
      </w:r>
      <w:r>
        <w:rPr>
          <w:rFonts w:ascii="Palatino Linotype" w:eastAsia="Calibri" w:hAnsi="Palatino Linotype" w:cs="Tahoma"/>
          <w:iCs/>
          <w:sz w:val="22"/>
          <w:szCs w:val="22"/>
          <w:lang w:eastAsia="es-ES_tradnl"/>
        </w:rPr>
        <w:t>.</w:t>
      </w:r>
    </w:p>
    <w:p w:rsidR="0052523F" w:rsidRDefault="0052523F" w:rsidP="008A3F26">
      <w:pPr>
        <w:tabs>
          <w:tab w:val="left" w:pos="4667"/>
        </w:tabs>
        <w:spacing w:line="360" w:lineRule="auto"/>
        <w:jc w:val="both"/>
        <w:rPr>
          <w:rFonts w:ascii="Palatino Linotype" w:eastAsia="Calibri" w:hAnsi="Palatino Linotype" w:cs="Tahoma"/>
          <w:iCs/>
          <w:sz w:val="22"/>
          <w:szCs w:val="22"/>
          <w:lang w:eastAsia="es-ES_tradnl"/>
        </w:rPr>
      </w:pPr>
    </w:p>
    <w:p w:rsidR="0052523F" w:rsidRDefault="0052523F"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 manera de referencia, es oportuno mencionar la Tesis 210795, </w:t>
      </w:r>
      <w:r w:rsidRPr="0052523F">
        <w:rPr>
          <w:rFonts w:ascii="Palatino Linotype" w:eastAsia="Calibri" w:hAnsi="Palatino Linotype" w:cs="Tahoma"/>
          <w:iCs/>
          <w:sz w:val="22"/>
          <w:szCs w:val="22"/>
          <w:lang w:eastAsia="es-ES_tradnl"/>
        </w:rPr>
        <w:t>Tribunales Colegiados de Circuito. Octava Época. Sema</w:t>
      </w:r>
      <w:r>
        <w:rPr>
          <w:rFonts w:ascii="Palatino Linotype" w:eastAsia="Calibri" w:hAnsi="Palatino Linotype" w:cs="Tahoma"/>
          <w:iCs/>
          <w:sz w:val="22"/>
          <w:szCs w:val="22"/>
          <w:lang w:eastAsia="es-ES_tradnl"/>
        </w:rPr>
        <w:t xml:space="preserve">nario Judicial de la Federación, disponible para su consulta en </w:t>
      </w:r>
      <w:hyperlink r:id="rId15" w:history="1">
        <w:r w:rsidRPr="00D70A6D">
          <w:rPr>
            <w:rStyle w:val="Hipervnculo"/>
            <w:rFonts w:ascii="Palatino Linotype" w:eastAsia="Calibri" w:hAnsi="Palatino Linotype" w:cs="Tahoma"/>
            <w:iCs/>
            <w:sz w:val="22"/>
            <w:szCs w:val="22"/>
            <w:lang w:eastAsia="es-ES_tradnl"/>
          </w:rPr>
          <w:t>https://sjf.scjn.gob.mx/SJFSist/Documentos/Tesis/210/210795.pdf</w:t>
        </w:r>
      </w:hyperlink>
      <w:r>
        <w:rPr>
          <w:rFonts w:ascii="Palatino Linotype" w:eastAsia="Calibri" w:hAnsi="Palatino Linotype" w:cs="Tahoma"/>
          <w:iCs/>
          <w:sz w:val="22"/>
          <w:szCs w:val="22"/>
          <w:lang w:eastAsia="es-ES_tradnl"/>
        </w:rPr>
        <w:t xml:space="preserve"> , la cual refiere lo siguiente:</w:t>
      </w:r>
    </w:p>
    <w:p w:rsidR="0052523F" w:rsidRDefault="0052523F" w:rsidP="008A3F26">
      <w:pPr>
        <w:tabs>
          <w:tab w:val="left" w:pos="4667"/>
        </w:tabs>
        <w:spacing w:line="360" w:lineRule="auto"/>
        <w:jc w:val="both"/>
        <w:rPr>
          <w:rFonts w:ascii="Palatino Linotype" w:eastAsia="Calibri" w:hAnsi="Palatino Linotype" w:cs="Tahoma"/>
          <w:iCs/>
          <w:sz w:val="22"/>
          <w:szCs w:val="22"/>
          <w:lang w:eastAsia="es-ES_tradnl"/>
        </w:rPr>
      </w:pPr>
    </w:p>
    <w:p w:rsidR="0052523F" w:rsidRPr="0052523F" w:rsidRDefault="0052523F" w:rsidP="0052523F">
      <w:pPr>
        <w:tabs>
          <w:tab w:val="left" w:pos="4667"/>
        </w:tabs>
        <w:spacing w:line="360" w:lineRule="auto"/>
        <w:ind w:left="567" w:right="567"/>
        <w:jc w:val="both"/>
        <w:rPr>
          <w:rFonts w:ascii="Palatino Linotype" w:eastAsia="Calibri" w:hAnsi="Palatino Linotype" w:cs="Tahoma"/>
          <w:iCs/>
          <w:szCs w:val="22"/>
          <w:lang w:eastAsia="es-ES_tradnl"/>
        </w:rPr>
      </w:pPr>
      <w:r w:rsidRPr="0052523F">
        <w:rPr>
          <w:rFonts w:ascii="Palatino Linotype" w:eastAsia="Calibri" w:hAnsi="Palatino Linotype" w:cs="Tahoma"/>
          <w:b/>
          <w:iCs/>
          <w:szCs w:val="22"/>
          <w:lang w:eastAsia="es-ES_tradnl"/>
        </w:rPr>
        <w:t>ABROGACION Y DEROGACION, DISTINCION ENTRE. SUS ALCANCES</w:t>
      </w:r>
      <w:r w:rsidRPr="0052523F">
        <w:rPr>
          <w:rFonts w:ascii="Palatino Linotype" w:eastAsia="Calibri" w:hAnsi="Palatino Linotype" w:cs="Tahoma"/>
          <w:iCs/>
          <w:szCs w:val="22"/>
          <w:lang w:eastAsia="es-ES_tradnl"/>
        </w:rPr>
        <w:t xml:space="preserve">. El término </w:t>
      </w:r>
      <w:r w:rsidRPr="0052523F">
        <w:rPr>
          <w:rFonts w:ascii="Palatino Linotype" w:eastAsia="Calibri" w:hAnsi="Palatino Linotype" w:cs="Tahoma"/>
          <w:b/>
          <w:iCs/>
          <w:szCs w:val="22"/>
          <w:u w:val="single"/>
          <w:lang w:eastAsia="es-ES_tradnl"/>
        </w:rPr>
        <w:t>abrogar</w:t>
      </w:r>
      <w:r w:rsidRPr="0052523F">
        <w:rPr>
          <w:rFonts w:ascii="Palatino Linotype" w:eastAsia="Calibri" w:hAnsi="Palatino Linotype" w:cs="Tahoma"/>
          <w:iCs/>
          <w:szCs w:val="22"/>
          <w:lang w:eastAsia="es-ES_tradnl"/>
        </w:rPr>
        <w:t xml:space="preserve"> que deriva del latín "</w:t>
      </w:r>
      <w:proofErr w:type="spellStart"/>
      <w:r w:rsidRPr="0052523F">
        <w:rPr>
          <w:rFonts w:ascii="Palatino Linotype" w:eastAsia="Calibri" w:hAnsi="Palatino Linotype" w:cs="Tahoma"/>
          <w:iCs/>
          <w:szCs w:val="22"/>
          <w:lang w:eastAsia="es-ES_tradnl"/>
        </w:rPr>
        <w:t>abrogatio</w:t>
      </w:r>
      <w:proofErr w:type="spellEnd"/>
      <w:r w:rsidRPr="0052523F">
        <w:rPr>
          <w:rFonts w:ascii="Palatino Linotype" w:eastAsia="Calibri" w:hAnsi="Palatino Linotype" w:cs="Tahoma"/>
          <w:iCs/>
          <w:szCs w:val="22"/>
          <w:lang w:eastAsia="es-ES_tradnl"/>
        </w:rPr>
        <w:t xml:space="preserve">", </w:t>
      </w:r>
      <w:r w:rsidRPr="0052523F">
        <w:rPr>
          <w:rFonts w:ascii="Palatino Linotype" w:eastAsia="Calibri" w:hAnsi="Palatino Linotype" w:cs="Tahoma"/>
          <w:b/>
          <w:iCs/>
          <w:szCs w:val="22"/>
          <w:u w:val="single"/>
          <w:lang w:eastAsia="es-ES_tradnl"/>
        </w:rPr>
        <w:t>implica anular</w:t>
      </w:r>
      <w:r w:rsidRPr="0052523F">
        <w:rPr>
          <w:rFonts w:ascii="Palatino Linotype" w:eastAsia="Calibri" w:hAnsi="Palatino Linotype" w:cs="Tahoma"/>
          <w:iCs/>
          <w:szCs w:val="22"/>
          <w:lang w:eastAsia="es-ES_tradnl"/>
        </w:rPr>
        <w:t xml:space="preserve">, lo que </w:t>
      </w:r>
      <w:r w:rsidRPr="0052523F">
        <w:rPr>
          <w:rFonts w:ascii="Palatino Linotype" w:eastAsia="Calibri" w:hAnsi="Palatino Linotype" w:cs="Tahoma"/>
          <w:b/>
          <w:iCs/>
          <w:szCs w:val="22"/>
          <w:u w:val="single"/>
          <w:lang w:eastAsia="es-ES_tradnl"/>
        </w:rPr>
        <w:t>significa la supresión total de la vigencia y</w:t>
      </w:r>
      <w:r w:rsidRPr="0052523F">
        <w:rPr>
          <w:rFonts w:ascii="Palatino Linotype" w:eastAsia="Calibri" w:hAnsi="Palatino Linotype" w:cs="Tahoma"/>
          <w:iCs/>
          <w:szCs w:val="22"/>
          <w:lang w:eastAsia="es-ES_tradnl"/>
        </w:rPr>
        <w:t xml:space="preserve">, por lo tanto, de la </w:t>
      </w:r>
      <w:r w:rsidRPr="0052523F">
        <w:rPr>
          <w:rFonts w:ascii="Palatino Linotype" w:eastAsia="Calibri" w:hAnsi="Palatino Linotype" w:cs="Tahoma"/>
          <w:b/>
          <w:iCs/>
          <w:szCs w:val="22"/>
          <w:u w:val="single"/>
          <w:lang w:eastAsia="es-ES_tradnl"/>
        </w:rPr>
        <w:t>obligatoriedad de una ley</w:t>
      </w:r>
      <w:r w:rsidRPr="0052523F">
        <w:rPr>
          <w:rFonts w:ascii="Palatino Linotype" w:eastAsia="Calibri" w:hAnsi="Palatino Linotype" w:cs="Tahoma"/>
          <w:iCs/>
          <w:szCs w:val="22"/>
          <w:lang w:eastAsia="es-ES_tradnl"/>
        </w:rPr>
        <w:t xml:space="preserve">. La abrogación puede ser expresa o tácita; es expresa, cuando un nuevo ordenamiento declara la abrogación de otro anterior que regulaba la misma materia que regulará ese nuevo ordenamiento; es tácita, cuando no resulta de una declaración expresa de otro ordenamiento, sino de la incompatibilidad total o parcial que existe entre los preceptos de una ley anterior y otra posterior, debiendo aplicarse u observarse, ante la incompatibilidad de preceptos, los del ordenamiento posterior, es decir, los que contengan el segundo ordenamiento emitido, sin que ello obste, al que se puedan seguir aplicando disposiciones del primer ordenamiento, que son compatibles con los contenidos en el segundo, si el campo de regulación del primer ordenamiento (anterior) es mayor que del segundo (posterior). Ante este supuesto, la abrogación sólo se da en el límite de la aplicación de la nueva ley o la posterior. En cambio la derogación es la privación parcial de los efectos de una ley, esto es, la vigencia de algunos preceptos se concluye, pero no así de todo el ordenamiento jurídico en el que se contienen. En nuestro sistema mexicano normalmente </w:t>
      </w:r>
      <w:r w:rsidRPr="0052523F">
        <w:rPr>
          <w:rFonts w:ascii="Palatino Linotype" w:eastAsia="Calibri" w:hAnsi="Palatino Linotype" w:cs="Tahoma"/>
          <w:iCs/>
          <w:szCs w:val="22"/>
          <w:lang w:eastAsia="es-ES_tradnl"/>
        </w:rPr>
        <w:lastRenderedPageBreak/>
        <w:t>el procedimiento que se sigue al abrogarse un ordenamiento jurídico es declarar la abrogación del mismo y además, derogar las disposiciones que se opongan al nuevo ordenamiento. Esta forma de actuar, obedece a la existencia de las diversas disposiciones que se emitieron con fundamento en el ordenamiento abrogado, que pueden resultar congruentes o no con las disposiciones que contiene el ordenamiento que abrogó el anterior. De ahí, el que sólo se deroguen aquellas disposiciones que contravengan el nuevo ordenamiento, pudiendo subsistir las que no lo contravengan, sino, por el contrario, que se ajusten a las nuevas disposiciones normativas, lo que significa que subsista la eficacia jurídica de esas diversas disposiciones que no se opongan al nuevo ordenamiento.</w:t>
      </w:r>
    </w:p>
    <w:p w:rsidR="00AF5445" w:rsidRDefault="00AF5445" w:rsidP="008A3F26">
      <w:pPr>
        <w:tabs>
          <w:tab w:val="left" w:pos="4667"/>
        </w:tabs>
        <w:spacing w:line="360" w:lineRule="auto"/>
        <w:jc w:val="both"/>
        <w:rPr>
          <w:rFonts w:ascii="Palatino Linotype" w:eastAsia="Calibri" w:hAnsi="Palatino Linotype" w:cs="Tahoma"/>
          <w:iCs/>
          <w:sz w:val="22"/>
          <w:szCs w:val="22"/>
          <w:lang w:eastAsia="es-ES_tradnl"/>
        </w:rPr>
      </w:pPr>
    </w:p>
    <w:p w:rsidR="0052523F" w:rsidRDefault="0052523F" w:rsidP="008A3F26">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Asimismo, de la consulta </w:t>
      </w:r>
      <w:r w:rsidR="00462202">
        <w:rPr>
          <w:rFonts w:ascii="Palatino Linotype" w:eastAsia="Calibri" w:hAnsi="Palatino Linotype" w:cs="Tahoma"/>
          <w:iCs/>
          <w:sz w:val="22"/>
          <w:szCs w:val="22"/>
          <w:lang w:eastAsia="es-ES_tradnl"/>
        </w:rPr>
        <w:t>realizada a</w:t>
      </w:r>
      <w:r>
        <w:rPr>
          <w:rFonts w:ascii="Palatino Linotype" w:eastAsia="Calibri" w:hAnsi="Palatino Linotype" w:cs="Tahoma"/>
          <w:iCs/>
          <w:sz w:val="22"/>
          <w:szCs w:val="22"/>
          <w:lang w:eastAsia="es-ES_tradnl"/>
        </w:rPr>
        <w:t xml:space="preserve">l </w:t>
      </w:r>
      <w:r w:rsidR="002B493B" w:rsidRPr="002B493B">
        <w:rPr>
          <w:rFonts w:ascii="Palatino Linotype" w:eastAsia="Calibri" w:hAnsi="Palatino Linotype" w:cs="Tahoma"/>
          <w:bCs/>
          <w:iCs/>
          <w:sz w:val="22"/>
          <w:szCs w:val="22"/>
          <w:lang w:eastAsia="es-ES_tradnl"/>
        </w:rPr>
        <w:t>Diccionario de Términos Parlamentarios</w:t>
      </w:r>
      <w:r w:rsidRPr="002B493B">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del Sistema de Información Legislativa, publicado en la liga electrónica </w:t>
      </w:r>
      <w:hyperlink r:id="rId16" w:history="1">
        <w:r w:rsidRPr="00D70A6D">
          <w:rPr>
            <w:rStyle w:val="Hipervnculo"/>
            <w:rFonts w:ascii="Palatino Linotype" w:eastAsia="Calibri" w:hAnsi="Palatino Linotype" w:cs="Tahoma"/>
            <w:iCs/>
            <w:sz w:val="22"/>
            <w:szCs w:val="22"/>
            <w:lang w:eastAsia="es-ES_tradnl"/>
          </w:rPr>
          <w:t>http://sil.gobernacion.gob.mx/Glosario/definicionpop.php?ID=1</w:t>
        </w:r>
      </w:hyperlink>
      <w:r>
        <w:rPr>
          <w:rFonts w:ascii="Palatino Linotype" w:eastAsia="Calibri" w:hAnsi="Palatino Linotype" w:cs="Tahoma"/>
          <w:iCs/>
          <w:sz w:val="22"/>
          <w:szCs w:val="22"/>
          <w:lang w:eastAsia="es-ES_tradnl"/>
        </w:rPr>
        <w:t xml:space="preserve"> </w:t>
      </w:r>
      <w:r w:rsidR="00462202">
        <w:rPr>
          <w:rFonts w:ascii="Palatino Linotype" w:eastAsia="Calibri" w:hAnsi="Palatino Linotype" w:cs="Tahoma"/>
          <w:iCs/>
          <w:sz w:val="22"/>
          <w:szCs w:val="22"/>
          <w:lang w:eastAsia="es-ES_tradnl"/>
        </w:rPr>
        <w:t>el seis de febrero de dos mil diecinueve</w:t>
      </w:r>
      <w:r w:rsidR="002B493B">
        <w:rPr>
          <w:rFonts w:ascii="Palatino Linotype" w:eastAsia="Calibri" w:hAnsi="Palatino Linotype" w:cs="Tahoma"/>
          <w:iCs/>
          <w:sz w:val="22"/>
          <w:szCs w:val="22"/>
          <w:lang w:eastAsia="es-ES_tradnl"/>
        </w:rPr>
        <w:t>, se obtuvo la definición siguiente:</w:t>
      </w:r>
    </w:p>
    <w:p w:rsidR="00DD2111" w:rsidRDefault="00DD2111" w:rsidP="008A3F26">
      <w:pPr>
        <w:tabs>
          <w:tab w:val="left" w:pos="4667"/>
        </w:tabs>
        <w:spacing w:line="360" w:lineRule="auto"/>
        <w:jc w:val="both"/>
        <w:rPr>
          <w:rFonts w:ascii="Palatino Linotype" w:eastAsia="Calibri" w:hAnsi="Palatino Linotype" w:cs="Tahoma"/>
          <w:iCs/>
          <w:sz w:val="22"/>
          <w:szCs w:val="22"/>
          <w:lang w:eastAsia="es-ES_tradnl"/>
        </w:rPr>
      </w:pPr>
    </w:p>
    <w:p w:rsidR="002B493B" w:rsidRDefault="00DD2111" w:rsidP="00DD2111">
      <w:pPr>
        <w:tabs>
          <w:tab w:val="left" w:pos="4667"/>
        </w:tabs>
        <w:spacing w:line="360" w:lineRule="auto"/>
        <w:ind w:left="567" w:right="567"/>
        <w:jc w:val="both"/>
        <w:rPr>
          <w:rFonts w:ascii="Palatino Linotype" w:eastAsia="Calibri" w:hAnsi="Palatino Linotype" w:cs="Tahoma"/>
          <w:b/>
          <w:bCs/>
          <w:iCs/>
          <w:szCs w:val="22"/>
          <w:lang w:eastAsia="es-ES_tradnl"/>
        </w:rPr>
      </w:pPr>
      <w:r w:rsidRPr="00DD2111">
        <w:rPr>
          <w:rFonts w:ascii="Palatino Linotype" w:eastAsia="Calibri" w:hAnsi="Palatino Linotype" w:cs="Tahoma"/>
          <w:b/>
          <w:bCs/>
          <w:iCs/>
          <w:szCs w:val="22"/>
          <w:lang w:eastAsia="es-ES_tradnl"/>
        </w:rPr>
        <w:t>Abrogar</w:t>
      </w:r>
    </w:p>
    <w:p w:rsidR="00DD2111" w:rsidRPr="00DD2111" w:rsidRDefault="00DD2111" w:rsidP="00DD2111">
      <w:pPr>
        <w:tabs>
          <w:tab w:val="left" w:pos="4667"/>
        </w:tabs>
        <w:spacing w:line="360" w:lineRule="auto"/>
        <w:ind w:left="567" w:right="567"/>
        <w:jc w:val="both"/>
        <w:rPr>
          <w:rFonts w:ascii="Palatino Linotype" w:eastAsia="Calibri" w:hAnsi="Palatino Linotype" w:cs="Tahoma"/>
          <w:b/>
          <w:bCs/>
          <w:iCs/>
          <w:szCs w:val="22"/>
          <w:lang w:eastAsia="es-ES_tradnl"/>
        </w:rPr>
      </w:pPr>
    </w:p>
    <w:p w:rsidR="00DD2111" w:rsidRDefault="00DD2111" w:rsidP="00DD2111">
      <w:pPr>
        <w:tabs>
          <w:tab w:val="left" w:pos="4667"/>
        </w:tabs>
        <w:spacing w:line="360" w:lineRule="auto"/>
        <w:ind w:left="567" w:right="567"/>
        <w:jc w:val="both"/>
        <w:rPr>
          <w:rFonts w:ascii="Palatino Linotype" w:eastAsia="Calibri" w:hAnsi="Palatino Linotype" w:cs="Tahoma"/>
          <w:iCs/>
          <w:szCs w:val="22"/>
          <w:lang w:eastAsia="es-ES_tradnl"/>
        </w:rPr>
      </w:pPr>
      <w:r w:rsidRPr="00DD2111">
        <w:rPr>
          <w:rFonts w:ascii="Palatino Linotype" w:eastAsia="Calibri" w:hAnsi="Palatino Linotype" w:cs="Tahoma"/>
          <w:b/>
          <w:iCs/>
          <w:szCs w:val="22"/>
          <w:u w:val="single"/>
          <w:lang w:eastAsia="es-ES_tradnl"/>
        </w:rPr>
        <w:t>Acción de dejar sin efecto jurídico un cuerpo legislativo completo</w:t>
      </w:r>
      <w:r w:rsidRPr="00DD2111">
        <w:rPr>
          <w:rFonts w:ascii="Palatino Linotype" w:eastAsia="Calibri" w:hAnsi="Palatino Linotype" w:cs="Tahoma"/>
          <w:iCs/>
          <w:szCs w:val="22"/>
          <w:lang w:eastAsia="es-ES_tradnl"/>
        </w:rPr>
        <w:t xml:space="preserve"> (a diferencia de la derogación que se refiere a parcialidades de una norma): </w:t>
      </w:r>
      <w:r w:rsidRPr="00DD2111">
        <w:rPr>
          <w:rFonts w:ascii="Palatino Linotype" w:eastAsia="Calibri" w:hAnsi="Palatino Linotype" w:cs="Tahoma"/>
          <w:b/>
          <w:iCs/>
          <w:szCs w:val="22"/>
          <w:u w:val="single"/>
          <w:lang w:eastAsia="es-ES_tradnl"/>
        </w:rPr>
        <w:t>ley</w:t>
      </w:r>
      <w:r w:rsidRPr="00DD2111">
        <w:rPr>
          <w:rFonts w:ascii="Palatino Linotype" w:eastAsia="Calibri" w:hAnsi="Palatino Linotype" w:cs="Tahoma"/>
          <w:iCs/>
          <w:szCs w:val="22"/>
          <w:lang w:eastAsia="es-ES_tradnl"/>
        </w:rPr>
        <w:t>, código, reglamento, bando, artículo, disposición legal, etc. En el sistema jurídico mexicano puede presuponer que una norma sea anulada o revocada expresamente por otra mediante el proceso legislativo contemplado en los artículos 71 y 72 de la Constitución Política de los Estados Unidos Mexicanos. </w:t>
      </w:r>
    </w:p>
    <w:p w:rsidR="00DD2111" w:rsidRDefault="00DD2111" w:rsidP="00DD2111">
      <w:pPr>
        <w:tabs>
          <w:tab w:val="left" w:pos="4667"/>
        </w:tabs>
        <w:spacing w:line="360" w:lineRule="auto"/>
        <w:ind w:left="567" w:right="567"/>
        <w:jc w:val="both"/>
        <w:rPr>
          <w:rFonts w:ascii="Palatino Linotype" w:eastAsia="Calibri" w:hAnsi="Palatino Linotype" w:cs="Tahoma"/>
          <w:iCs/>
          <w:szCs w:val="22"/>
          <w:lang w:eastAsia="es-ES_tradnl"/>
        </w:rPr>
      </w:pPr>
      <w:r w:rsidRPr="00DD2111">
        <w:rPr>
          <w:rFonts w:ascii="Palatino Linotype" w:eastAsia="Calibri" w:hAnsi="Palatino Linotype" w:cs="Tahoma"/>
          <w:iCs/>
          <w:szCs w:val="22"/>
          <w:lang w:eastAsia="es-ES_tradnl"/>
        </w:rPr>
        <w:br/>
        <w:t xml:space="preserve">Existen dos tipos de abrogación: 1) expresa, que se refiere a la definición incluida dentro de los artículos transitorios de una ley en la que se declara directamente abrogada otra ley </w:t>
      </w:r>
      <w:r w:rsidRPr="00DD2111">
        <w:rPr>
          <w:rFonts w:ascii="Palatino Linotype" w:eastAsia="Calibri" w:hAnsi="Palatino Linotype" w:cs="Tahoma"/>
          <w:iCs/>
          <w:szCs w:val="22"/>
          <w:lang w:eastAsia="es-ES_tradnl"/>
        </w:rPr>
        <w:lastRenderedPageBreak/>
        <w:t>anterior; y, 2) tácita, que se refiere a la abrogación de una ley en virtud de la incompatibilidad entre los preceptos de un nuevo ordenamiento y otro existente. </w:t>
      </w:r>
    </w:p>
    <w:p w:rsidR="00DD2111" w:rsidRDefault="00DD2111" w:rsidP="00DD2111">
      <w:pPr>
        <w:tabs>
          <w:tab w:val="left" w:pos="4667"/>
        </w:tabs>
        <w:spacing w:line="360" w:lineRule="auto"/>
        <w:ind w:left="567" w:right="567"/>
        <w:jc w:val="both"/>
        <w:rPr>
          <w:rFonts w:ascii="Palatino Linotype" w:eastAsia="Calibri" w:hAnsi="Palatino Linotype" w:cs="Tahoma"/>
          <w:iCs/>
          <w:szCs w:val="22"/>
          <w:lang w:eastAsia="es-ES_tradnl"/>
        </w:rPr>
      </w:pPr>
      <w:r w:rsidRPr="00DD2111">
        <w:rPr>
          <w:rFonts w:ascii="Palatino Linotype" w:eastAsia="Calibri" w:hAnsi="Palatino Linotype" w:cs="Tahoma"/>
          <w:iCs/>
          <w:szCs w:val="22"/>
          <w:lang w:eastAsia="es-ES_tradnl"/>
        </w:rPr>
        <w:br/>
        <w:t>La abrogación implica un cambio de sistemas jurídicos por medio de la sustracción de normas, lo que tiene que ver con la afectación ya sea de validez, vigencia, eficacia o extinción de una norma jurídica en tanto la derogación define algo que no afecta la validez de una norma, sino su eficacia.</w:t>
      </w:r>
    </w:p>
    <w:p w:rsidR="00823BBC" w:rsidRPr="00DD2111" w:rsidRDefault="00823BBC" w:rsidP="00DD2111">
      <w:pPr>
        <w:tabs>
          <w:tab w:val="left" w:pos="4667"/>
        </w:tabs>
        <w:spacing w:line="360" w:lineRule="auto"/>
        <w:ind w:left="567" w:right="567"/>
        <w:jc w:val="both"/>
        <w:rPr>
          <w:rFonts w:ascii="Palatino Linotype" w:eastAsia="Calibri" w:hAnsi="Palatino Linotype" w:cs="Tahoma"/>
          <w:iCs/>
          <w:szCs w:val="22"/>
          <w:lang w:eastAsia="es-ES_tradnl"/>
        </w:rPr>
      </w:pPr>
    </w:p>
    <w:p w:rsidR="00DD2111" w:rsidRPr="00DD2111" w:rsidRDefault="00DD2111" w:rsidP="00DD2111">
      <w:pPr>
        <w:tabs>
          <w:tab w:val="left" w:pos="4667"/>
        </w:tabs>
        <w:spacing w:line="360" w:lineRule="auto"/>
        <w:ind w:left="567" w:right="567"/>
        <w:jc w:val="both"/>
        <w:rPr>
          <w:rFonts w:ascii="Palatino Linotype" w:eastAsia="Calibri" w:hAnsi="Palatino Linotype" w:cs="Tahoma"/>
          <w:bCs/>
          <w:iCs/>
          <w:szCs w:val="22"/>
          <w:lang w:eastAsia="es-ES_tradnl"/>
        </w:rPr>
      </w:pPr>
      <w:r w:rsidRPr="00DD2111">
        <w:rPr>
          <w:rFonts w:ascii="Palatino Linotype" w:eastAsia="Calibri" w:hAnsi="Palatino Linotype" w:cs="Tahoma"/>
          <w:bCs/>
          <w:iCs/>
          <w:szCs w:val="22"/>
          <w:lang w:eastAsia="es-ES_tradnl"/>
        </w:rPr>
        <w:t>Fuente(s):</w:t>
      </w:r>
    </w:p>
    <w:p w:rsidR="00DD2111" w:rsidRPr="00DD2111" w:rsidRDefault="00DD2111" w:rsidP="00DD2111">
      <w:pPr>
        <w:numPr>
          <w:ilvl w:val="0"/>
          <w:numId w:val="24"/>
        </w:numPr>
        <w:tabs>
          <w:tab w:val="left" w:pos="4667"/>
        </w:tabs>
        <w:spacing w:line="360" w:lineRule="auto"/>
        <w:ind w:left="993" w:right="567"/>
        <w:jc w:val="both"/>
        <w:rPr>
          <w:rFonts w:ascii="Palatino Linotype" w:eastAsia="Calibri" w:hAnsi="Palatino Linotype" w:cs="Tahoma"/>
          <w:bCs/>
          <w:iCs/>
          <w:szCs w:val="22"/>
          <w:lang w:eastAsia="es-ES_tradnl"/>
        </w:rPr>
      </w:pPr>
      <w:r w:rsidRPr="00DD2111">
        <w:rPr>
          <w:rFonts w:ascii="Palatino Linotype" w:eastAsia="Calibri" w:hAnsi="Palatino Linotype" w:cs="Tahoma"/>
          <w:bCs/>
          <w:iCs/>
          <w:szCs w:val="22"/>
          <w:lang w:eastAsia="es-ES_tradnl"/>
        </w:rPr>
        <w:t xml:space="preserve">O. Nava </w:t>
      </w:r>
      <w:proofErr w:type="spellStart"/>
      <w:r w:rsidRPr="00DD2111">
        <w:rPr>
          <w:rFonts w:ascii="Palatino Linotype" w:eastAsia="Calibri" w:hAnsi="Palatino Linotype" w:cs="Tahoma"/>
          <w:bCs/>
          <w:iCs/>
          <w:szCs w:val="22"/>
          <w:lang w:eastAsia="es-ES_tradnl"/>
        </w:rPr>
        <w:t>Gomar</w:t>
      </w:r>
      <w:proofErr w:type="spellEnd"/>
      <w:r w:rsidRPr="00DD2111">
        <w:rPr>
          <w:rFonts w:ascii="Palatino Linotype" w:eastAsia="Calibri" w:hAnsi="Palatino Linotype" w:cs="Tahoma"/>
          <w:bCs/>
          <w:iCs/>
          <w:szCs w:val="22"/>
          <w:lang w:eastAsia="es-ES_tradnl"/>
        </w:rPr>
        <w:t xml:space="preserve">, Salvador (Coord.). Manual de Técnica Legislativa, Tomo I, Konrad Adenauer </w:t>
      </w:r>
      <w:proofErr w:type="spellStart"/>
      <w:r w:rsidRPr="00DD2111">
        <w:rPr>
          <w:rFonts w:ascii="Palatino Linotype" w:eastAsia="Calibri" w:hAnsi="Palatino Linotype" w:cs="Tahoma"/>
          <w:bCs/>
          <w:iCs/>
          <w:szCs w:val="22"/>
          <w:lang w:eastAsia="es-ES_tradnl"/>
        </w:rPr>
        <w:t>Stiftung</w:t>
      </w:r>
      <w:proofErr w:type="spellEnd"/>
      <w:r w:rsidRPr="00DD2111">
        <w:rPr>
          <w:rFonts w:ascii="Palatino Linotype" w:eastAsia="Calibri" w:hAnsi="Palatino Linotype" w:cs="Tahoma"/>
          <w:bCs/>
          <w:iCs/>
          <w:szCs w:val="22"/>
          <w:lang w:eastAsia="es-ES_tradnl"/>
        </w:rPr>
        <w:t>, México, 2004, Pp. 255-257.</w:t>
      </w:r>
    </w:p>
    <w:p w:rsidR="00DD2111" w:rsidRPr="00DD2111" w:rsidRDefault="00DD2111" w:rsidP="00DD2111">
      <w:pPr>
        <w:numPr>
          <w:ilvl w:val="0"/>
          <w:numId w:val="24"/>
        </w:numPr>
        <w:tabs>
          <w:tab w:val="left" w:pos="4667"/>
        </w:tabs>
        <w:spacing w:line="360" w:lineRule="auto"/>
        <w:ind w:left="993" w:right="567"/>
        <w:jc w:val="both"/>
        <w:rPr>
          <w:rFonts w:ascii="Palatino Linotype" w:eastAsia="Calibri" w:hAnsi="Palatino Linotype" w:cs="Tahoma"/>
          <w:bCs/>
          <w:iCs/>
          <w:szCs w:val="22"/>
          <w:lang w:eastAsia="es-ES_tradnl"/>
        </w:rPr>
      </w:pPr>
      <w:r w:rsidRPr="00DD2111">
        <w:rPr>
          <w:rFonts w:ascii="Palatino Linotype" w:eastAsia="Calibri" w:hAnsi="Palatino Linotype" w:cs="Tahoma"/>
          <w:bCs/>
          <w:iCs/>
          <w:szCs w:val="22"/>
          <w:lang w:eastAsia="es-ES_tradnl"/>
        </w:rPr>
        <w:t xml:space="preserve">Carbonell, Miguel. “Los objetos de las leyes, los reenvíos y las derogaciones tácitas” en Elementos de Técnica Legislativa, IIJ-UNAM, México, 2000. </w:t>
      </w:r>
      <w:proofErr w:type="spellStart"/>
      <w:r w:rsidRPr="00DD2111">
        <w:rPr>
          <w:rFonts w:ascii="Palatino Linotype" w:eastAsia="Calibri" w:hAnsi="Palatino Linotype" w:cs="Tahoma"/>
          <w:bCs/>
          <w:iCs/>
          <w:szCs w:val="22"/>
          <w:lang w:eastAsia="es-ES_tradnl"/>
        </w:rPr>
        <w:t>Pp</w:t>
      </w:r>
      <w:proofErr w:type="spellEnd"/>
      <w:r w:rsidRPr="00DD2111">
        <w:rPr>
          <w:rFonts w:ascii="Palatino Linotype" w:eastAsia="Calibri" w:hAnsi="Palatino Linotype" w:cs="Tahoma"/>
          <w:bCs/>
          <w:iCs/>
          <w:szCs w:val="22"/>
          <w:lang w:eastAsia="es-ES_tradnl"/>
        </w:rPr>
        <w:t xml:space="preserve"> 209-224.</w:t>
      </w:r>
    </w:p>
    <w:p w:rsidR="00DD2111" w:rsidRPr="00DD2111" w:rsidRDefault="00DD2111" w:rsidP="00DD2111">
      <w:pPr>
        <w:numPr>
          <w:ilvl w:val="0"/>
          <w:numId w:val="24"/>
        </w:numPr>
        <w:tabs>
          <w:tab w:val="left" w:pos="4667"/>
        </w:tabs>
        <w:spacing w:line="360" w:lineRule="auto"/>
        <w:ind w:left="993" w:right="567"/>
        <w:jc w:val="both"/>
        <w:rPr>
          <w:rFonts w:ascii="Palatino Linotype" w:eastAsia="Calibri" w:hAnsi="Palatino Linotype" w:cs="Tahoma"/>
          <w:bCs/>
          <w:iCs/>
          <w:szCs w:val="22"/>
          <w:lang w:eastAsia="es-ES_tradnl"/>
        </w:rPr>
      </w:pPr>
      <w:r w:rsidRPr="00DD2111">
        <w:rPr>
          <w:rFonts w:ascii="Palatino Linotype" w:eastAsia="Calibri" w:hAnsi="Palatino Linotype" w:cs="Tahoma"/>
          <w:bCs/>
          <w:iCs/>
          <w:szCs w:val="22"/>
          <w:lang w:eastAsia="es-ES_tradnl"/>
        </w:rPr>
        <w:t>Gascón Abellán, Marina. “La derogación” en Elementos de Técnica Legislativa, IIJ-UNAM, México, 2000. Pp. 225 – 242</w:t>
      </w:r>
    </w:p>
    <w:p w:rsidR="002B493B" w:rsidRDefault="002B493B" w:rsidP="002B493B">
      <w:pPr>
        <w:tabs>
          <w:tab w:val="left" w:pos="4667"/>
        </w:tabs>
        <w:spacing w:line="360" w:lineRule="auto"/>
        <w:jc w:val="both"/>
        <w:rPr>
          <w:rFonts w:ascii="Palatino Linotype" w:eastAsia="Calibri" w:hAnsi="Palatino Linotype" w:cs="Tahoma"/>
          <w:iCs/>
          <w:sz w:val="22"/>
          <w:szCs w:val="22"/>
          <w:lang w:eastAsia="es-ES_tradnl"/>
        </w:rPr>
      </w:pPr>
    </w:p>
    <w:p w:rsidR="00147AC6" w:rsidRDefault="00DD2111" w:rsidP="002B493B">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lo anterior se concluye que, en efecto, la </w:t>
      </w:r>
      <w:r w:rsidRPr="00DD2111">
        <w:rPr>
          <w:rFonts w:ascii="Palatino Linotype" w:eastAsia="Calibri" w:hAnsi="Palatino Linotype" w:cs="Tahoma"/>
          <w:iCs/>
          <w:sz w:val="22"/>
          <w:szCs w:val="22"/>
          <w:lang w:eastAsia="es-ES_tradnl"/>
        </w:rPr>
        <w:t xml:space="preserve">Ley de Seguridad Social para los Servidores Públicos del Estado de México y Municipios, que se tenía prevista para entrar en vigor el </w:t>
      </w:r>
      <w:r w:rsidR="00F91CC8">
        <w:rPr>
          <w:rFonts w:ascii="Palatino Linotype" w:eastAsia="Calibri" w:hAnsi="Palatino Linotype" w:cs="Tahoma"/>
          <w:iCs/>
          <w:sz w:val="22"/>
          <w:szCs w:val="22"/>
          <w:lang w:eastAsia="es-ES_tradnl"/>
        </w:rPr>
        <w:t>primero</w:t>
      </w:r>
      <w:r w:rsidRPr="00DD2111">
        <w:rPr>
          <w:rFonts w:ascii="Palatino Linotype" w:eastAsia="Calibri" w:hAnsi="Palatino Linotype" w:cs="Tahoma"/>
          <w:iCs/>
          <w:sz w:val="22"/>
          <w:szCs w:val="22"/>
          <w:lang w:eastAsia="es-ES_tradnl"/>
        </w:rPr>
        <w:t xml:space="preserve"> de enero de </w:t>
      </w:r>
      <w:r w:rsidR="00F91CC8">
        <w:rPr>
          <w:rFonts w:ascii="Palatino Linotype" w:eastAsia="Calibri" w:hAnsi="Palatino Linotype" w:cs="Tahoma"/>
          <w:iCs/>
          <w:sz w:val="22"/>
          <w:szCs w:val="22"/>
          <w:lang w:eastAsia="es-ES_tradnl"/>
        </w:rPr>
        <w:t>dos mil diecinueve</w:t>
      </w:r>
      <w:r>
        <w:rPr>
          <w:rFonts w:ascii="Palatino Linotype" w:eastAsia="Calibri" w:hAnsi="Palatino Linotype" w:cs="Tahoma"/>
          <w:iCs/>
          <w:sz w:val="22"/>
          <w:szCs w:val="22"/>
          <w:lang w:eastAsia="es-ES_tradnl"/>
        </w:rPr>
        <w:t xml:space="preserve"> y respecto de la cual el Recurrente requiere información relacionada con acciones para su cumplimiento, fue abrogada</w:t>
      </w:r>
      <w:r w:rsidR="00147AC6">
        <w:rPr>
          <w:rFonts w:ascii="Palatino Linotype" w:eastAsia="Calibri" w:hAnsi="Palatino Linotype" w:cs="Tahoma"/>
          <w:iCs/>
          <w:sz w:val="22"/>
          <w:szCs w:val="22"/>
          <w:lang w:eastAsia="es-ES_tradnl"/>
        </w:rPr>
        <w:t xml:space="preserve">, mediante el Decreto Número 9, de fecha </w:t>
      </w:r>
      <w:r w:rsidR="00147AC6" w:rsidRPr="00147AC6">
        <w:rPr>
          <w:rFonts w:ascii="Palatino Linotype" w:eastAsia="Calibri" w:hAnsi="Palatino Linotype" w:cs="Tahoma"/>
          <w:iCs/>
          <w:sz w:val="22"/>
          <w:szCs w:val="22"/>
          <w:lang w:eastAsia="es-ES_tradnl"/>
        </w:rPr>
        <w:t>treinta y uno de diciembre de dos mil dieciocho</w:t>
      </w:r>
      <w:r w:rsidR="00147AC6">
        <w:rPr>
          <w:rFonts w:ascii="Palatino Linotype" w:eastAsia="Calibri" w:hAnsi="Palatino Linotype" w:cs="Tahoma"/>
          <w:iCs/>
          <w:sz w:val="22"/>
          <w:szCs w:val="22"/>
          <w:lang w:eastAsia="es-ES_tradnl"/>
        </w:rPr>
        <w:t>, en consecuencia dicha legislación queda sin efectos</w:t>
      </w:r>
      <w:r w:rsidR="00F91CC8">
        <w:rPr>
          <w:rFonts w:ascii="Palatino Linotype" w:eastAsia="Calibri" w:hAnsi="Palatino Linotype" w:cs="Tahoma"/>
          <w:iCs/>
          <w:sz w:val="22"/>
          <w:szCs w:val="22"/>
          <w:lang w:eastAsia="es-ES_tradnl"/>
        </w:rPr>
        <w:t xml:space="preserve"> </w:t>
      </w:r>
      <w:r w:rsidR="00147AC6">
        <w:rPr>
          <w:rFonts w:ascii="Palatino Linotype" w:eastAsia="Calibri" w:hAnsi="Palatino Linotype" w:cs="Tahoma"/>
          <w:iCs/>
          <w:sz w:val="22"/>
          <w:szCs w:val="22"/>
          <w:lang w:eastAsia="es-ES_tradnl"/>
        </w:rPr>
        <w:t xml:space="preserve">y no tiene vigencia. </w:t>
      </w:r>
    </w:p>
    <w:p w:rsidR="00147AC6" w:rsidRDefault="00147AC6" w:rsidP="002B493B">
      <w:pPr>
        <w:tabs>
          <w:tab w:val="left" w:pos="4667"/>
        </w:tabs>
        <w:spacing w:line="360" w:lineRule="auto"/>
        <w:jc w:val="both"/>
        <w:rPr>
          <w:rFonts w:ascii="Palatino Linotype" w:eastAsia="Calibri" w:hAnsi="Palatino Linotype" w:cs="Tahoma"/>
          <w:iCs/>
          <w:sz w:val="22"/>
          <w:szCs w:val="22"/>
          <w:lang w:eastAsia="es-ES_tradnl"/>
        </w:rPr>
      </w:pPr>
    </w:p>
    <w:p w:rsidR="00147AC6" w:rsidRDefault="00147AC6" w:rsidP="002B493B">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este contexto, </w:t>
      </w:r>
      <w:r w:rsidRPr="00147AC6">
        <w:rPr>
          <w:rFonts w:ascii="Palatino Linotype" w:eastAsia="Calibri" w:hAnsi="Palatino Linotype" w:cs="Tahoma"/>
          <w:bCs/>
          <w:iCs/>
          <w:sz w:val="22"/>
          <w:szCs w:val="22"/>
          <w:lang w:eastAsia="es-ES_tradnl"/>
        </w:rPr>
        <w:t>Instituto de Seguridad Social del Estado de México y Municipios</w:t>
      </w:r>
      <w:r>
        <w:rPr>
          <w:rFonts w:ascii="Palatino Linotype" w:eastAsia="Calibri" w:hAnsi="Palatino Linotype" w:cs="Tahoma"/>
          <w:bCs/>
          <w:iCs/>
          <w:sz w:val="22"/>
          <w:szCs w:val="22"/>
          <w:lang w:eastAsia="es-ES_tradnl"/>
        </w:rPr>
        <w:t xml:space="preserve">, carece de obligación legal para generar o poseer la información solicitada, toda vez que se trata de una Ley que no es vigente ni aplicable. </w:t>
      </w:r>
    </w:p>
    <w:p w:rsidR="00147AC6" w:rsidRDefault="00147AC6" w:rsidP="002B493B">
      <w:pPr>
        <w:tabs>
          <w:tab w:val="left" w:pos="4667"/>
        </w:tabs>
        <w:spacing w:line="360" w:lineRule="auto"/>
        <w:jc w:val="both"/>
        <w:rPr>
          <w:rFonts w:ascii="Palatino Linotype" w:eastAsia="Calibri" w:hAnsi="Palatino Linotype" w:cs="Tahoma"/>
          <w:iCs/>
          <w:sz w:val="22"/>
          <w:szCs w:val="22"/>
          <w:lang w:eastAsia="es-ES_tradnl"/>
        </w:rPr>
      </w:pPr>
    </w:p>
    <w:p w:rsidR="00147AC6" w:rsidRPr="00147AC6" w:rsidRDefault="00147AC6" w:rsidP="00147AC6">
      <w:pPr>
        <w:tabs>
          <w:tab w:val="left" w:pos="4667"/>
        </w:tabs>
        <w:spacing w:line="360" w:lineRule="auto"/>
        <w:jc w:val="both"/>
        <w:rPr>
          <w:rFonts w:ascii="Palatino Linotype" w:eastAsia="Calibri" w:hAnsi="Palatino Linotype" w:cs="Tahoma"/>
          <w:bCs/>
          <w:iCs/>
          <w:sz w:val="22"/>
          <w:szCs w:val="22"/>
          <w:lang w:eastAsia="es-ES_tradnl"/>
        </w:rPr>
      </w:pPr>
      <w:r w:rsidRPr="00147AC6">
        <w:rPr>
          <w:rFonts w:ascii="Palatino Linotype" w:eastAsia="Calibri" w:hAnsi="Palatino Linotype" w:cs="Tahoma"/>
          <w:bCs/>
          <w:iCs/>
          <w:sz w:val="22"/>
          <w:szCs w:val="22"/>
          <w:lang w:eastAsia="es-ES_tradnl"/>
        </w:rPr>
        <w:lastRenderedPageBreak/>
        <w:t>Derivado de lo expuesto, se actualiza el supuesto establecido en la fracción V</w:t>
      </w:r>
      <w:r w:rsidR="001D27C5">
        <w:rPr>
          <w:rFonts w:ascii="Palatino Linotype" w:eastAsia="Calibri" w:hAnsi="Palatino Linotype" w:cs="Tahoma"/>
          <w:bCs/>
          <w:iCs/>
          <w:sz w:val="22"/>
          <w:szCs w:val="22"/>
          <w:lang w:eastAsia="es-ES_tradnl"/>
        </w:rPr>
        <w:t>,</w:t>
      </w:r>
      <w:r w:rsidRPr="00147AC6">
        <w:rPr>
          <w:rFonts w:ascii="Palatino Linotype" w:eastAsia="Calibri" w:hAnsi="Palatino Linotype" w:cs="Tahoma"/>
          <w:bCs/>
          <w:iCs/>
          <w:sz w:val="22"/>
          <w:szCs w:val="22"/>
          <w:lang w:eastAsia="es-ES_tradnl"/>
        </w:rPr>
        <w:t xml:space="preserve"> del Artículo 192</w:t>
      </w:r>
      <w:r w:rsidR="001D27C5">
        <w:rPr>
          <w:rFonts w:ascii="Palatino Linotype" w:eastAsia="Calibri" w:hAnsi="Palatino Linotype" w:cs="Tahoma"/>
          <w:bCs/>
          <w:iCs/>
          <w:sz w:val="22"/>
          <w:szCs w:val="22"/>
          <w:lang w:eastAsia="es-ES_tradnl"/>
        </w:rPr>
        <w:t>,</w:t>
      </w:r>
      <w:r w:rsidRPr="00147AC6">
        <w:rPr>
          <w:rFonts w:ascii="Palatino Linotype" w:eastAsia="Calibri" w:hAnsi="Palatino Linotype" w:cs="Tahoma"/>
          <w:bCs/>
          <w:iCs/>
          <w:sz w:val="22"/>
          <w:szCs w:val="22"/>
          <w:lang w:eastAsia="es-ES_tradnl"/>
        </w:rPr>
        <w:t xml:space="preserve"> de la Ley de la materia, que determina que el </w:t>
      </w:r>
      <w:r w:rsidR="001D27C5">
        <w:rPr>
          <w:rFonts w:ascii="Palatino Linotype" w:eastAsia="Calibri" w:hAnsi="Palatino Linotype" w:cs="Tahoma"/>
          <w:bCs/>
          <w:iCs/>
          <w:sz w:val="22"/>
          <w:szCs w:val="22"/>
          <w:lang w:eastAsia="es-ES_tradnl"/>
        </w:rPr>
        <w:t>R</w:t>
      </w:r>
      <w:r w:rsidRPr="00147AC6">
        <w:rPr>
          <w:rFonts w:ascii="Palatino Linotype" w:eastAsia="Calibri" w:hAnsi="Palatino Linotype" w:cs="Tahoma"/>
          <w:bCs/>
          <w:iCs/>
          <w:sz w:val="22"/>
          <w:szCs w:val="22"/>
          <w:lang w:eastAsia="es-ES_tradnl"/>
        </w:rPr>
        <w:t xml:space="preserve">ecurso </w:t>
      </w:r>
      <w:r w:rsidR="001D27C5">
        <w:rPr>
          <w:rFonts w:ascii="Palatino Linotype" w:eastAsia="Calibri" w:hAnsi="Palatino Linotype" w:cs="Tahoma"/>
          <w:bCs/>
          <w:iCs/>
          <w:sz w:val="22"/>
          <w:szCs w:val="22"/>
          <w:lang w:eastAsia="es-ES_tradnl"/>
        </w:rPr>
        <w:t xml:space="preserve"> de Revisión </w:t>
      </w:r>
      <w:r w:rsidRPr="00147AC6">
        <w:rPr>
          <w:rFonts w:ascii="Palatino Linotype" w:eastAsia="Calibri" w:hAnsi="Palatino Linotype" w:cs="Tahoma"/>
          <w:bCs/>
          <w:iCs/>
          <w:sz w:val="22"/>
          <w:szCs w:val="22"/>
          <w:lang w:eastAsia="es-ES_tradnl"/>
        </w:rPr>
        <w:t xml:space="preserve">será sobreseído </w:t>
      </w:r>
      <w:r w:rsidRPr="00147AC6">
        <w:rPr>
          <w:rFonts w:ascii="Palatino Linotype" w:eastAsia="Calibri" w:hAnsi="Palatino Linotype" w:cs="Tahoma"/>
          <w:b/>
          <w:bCs/>
          <w:iCs/>
          <w:sz w:val="22"/>
          <w:szCs w:val="22"/>
          <w:lang w:eastAsia="es-ES_tradnl"/>
        </w:rPr>
        <w:t xml:space="preserve">cuando </w:t>
      </w:r>
      <w:r w:rsidRPr="00147AC6">
        <w:rPr>
          <w:rFonts w:ascii="Palatino Linotype" w:eastAsia="Calibri" w:hAnsi="Palatino Linotype" w:cs="Tahoma"/>
          <w:bCs/>
          <w:iCs/>
          <w:sz w:val="22"/>
          <w:szCs w:val="22"/>
          <w:lang w:eastAsia="es-ES_tradnl"/>
        </w:rPr>
        <w:t>una vez admitido, por cualquier motivo quede sin materia.</w:t>
      </w:r>
    </w:p>
    <w:p w:rsidR="00147AC6" w:rsidRPr="00147AC6" w:rsidRDefault="00147AC6" w:rsidP="00147AC6">
      <w:pPr>
        <w:tabs>
          <w:tab w:val="left" w:pos="4667"/>
        </w:tabs>
        <w:spacing w:line="360" w:lineRule="auto"/>
        <w:jc w:val="both"/>
        <w:rPr>
          <w:rFonts w:ascii="Palatino Linotype" w:eastAsia="Calibri" w:hAnsi="Palatino Linotype" w:cs="Tahoma"/>
          <w:bCs/>
          <w:iCs/>
          <w:sz w:val="22"/>
          <w:szCs w:val="22"/>
          <w:lang w:eastAsia="es-ES_tradnl"/>
        </w:rPr>
      </w:pPr>
    </w:p>
    <w:p w:rsidR="00147AC6" w:rsidRPr="00147AC6" w:rsidRDefault="00147AC6" w:rsidP="00147AC6">
      <w:pPr>
        <w:tabs>
          <w:tab w:val="left" w:pos="4667"/>
        </w:tabs>
        <w:spacing w:line="360" w:lineRule="auto"/>
        <w:jc w:val="both"/>
        <w:rPr>
          <w:rFonts w:ascii="Palatino Linotype" w:eastAsia="Calibri" w:hAnsi="Palatino Linotype" w:cs="Tahoma"/>
          <w:iCs/>
          <w:sz w:val="22"/>
          <w:szCs w:val="22"/>
          <w:lang w:eastAsia="es-ES_tradnl"/>
        </w:rPr>
      </w:pPr>
      <w:r w:rsidRPr="00147AC6">
        <w:rPr>
          <w:rFonts w:ascii="Palatino Linotype" w:eastAsia="Calibri" w:hAnsi="Palatino Linotype" w:cs="Tahoma"/>
          <w:bCs/>
          <w:iCs/>
          <w:sz w:val="22"/>
          <w:szCs w:val="22"/>
          <w:lang w:eastAsia="es-ES_tradnl"/>
        </w:rPr>
        <w:t xml:space="preserve">En este sentido, </w:t>
      </w:r>
      <w:r>
        <w:rPr>
          <w:rFonts w:ascii="Palatino Linotype" w:eastAsia="Calibri" w:hAnsi="Palatino Linotype" w:cs="Tahoma"/>
          <w:bCs/>
          <w:iCs/>
          <w:sz w:val="22"/>
          <w:szCs w:val="22"/>
          <w:lang w:eastAsia="es-ES_tradnl"/>
        </w:rPr>
        <w:t xml:space="preserve">la </w:t>
      </w:r>
      <w:r w:rsidR="00647EEE">
        <w:rPr>
          <w:rFonts w:ascii="Palatino Linotype" w:eastAsia="Calibri" w:hAnsi="Palatino Linotype" w:cs="Tahoma"/>
          <w:bCs/>
          <w:iCs/>
          <w:sz w:val="22"/>
          <w:szCs w:val="22"/>
          <w:lang w:eastAsia="es-ES_tradnl"/>
        </w:rPr>
        <w:t>información solicitada por el Particular versa</w:t>
      </w:r>
      <w:r>
        <w:rPr>
          <w:rFonts w:ascii="Palatino Linotype" w:eastAsia="Calibri" w:hAnsi="Palatino Linotype" w:cs="Tahoma"/>
          <w:bCs/>
          <w:iCs/>
          <w:sz w:val="22"/>
          <w:szCs w:val="22"/>
          <w:lang w:eastAsia="es-ES_tradnl"/>
        </w:rPr>
        <w:t xml:space="preserve"> sobre una Ley que ha sido abrogada</w:t>
      </w:r>
      <w:r w:rsidRPr="00147AC6">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acto</w:t>
      </w:r>
      <w:r w:rsidRPr="00147AC6">
        <w:rPr>
          <w:rFonts w:ascii="Palatino Linotype" w:eastAsia="Calibri" w:hAnsi="Palatino Linotype" w:cs="Tahoma"/>
          <w:bCs/>
          <w:iCs/>
          <w:sz w:val="22"/>
          <w:szCs w:val="22"/>
          <w:lang w:eastAsia="es-ES_tradnl"/>
        </w:rPr>
        <w:t xml:space="preserve"> deja sin materia el Recurso de Revisión </w:t>
      </w:r>
      <w:r w:rsidR="00647EEE">
        <w:rPr>
          <w:rFonts w:ascii="Palatino Linotype" w:eastAsia="Calibri" w:hAnsi="Palatino Linotype" w:cs="Tahoma"/>
          <w:bCs/>
          <w:iCs/>
          <w:sz w:val="22"/>
          <w:szCs w:val="22"/>
          <w:lang w:eastAsia="es-ES_tradnl"/>
        </w:rPr>
        <w:t>que nos ocupa</w:t>
      </w:r>
      <w:r w:rsidRPr="00147AC6">
        <w:rPr>
          <w:rFonts w:ascii="Palatino Linotype" w:eastAsia="Calibri" w:hAnsi="Palatino Linotype" w:cs="Tahoma"/>
          <w:bCs/>
          <w:iCs/>
          <w:sz w:val="22"/>
          <w:szCs w:val="22"/>
          <w:lang w:eastAsia="es-ES_tradnl"/>
        </w:rPr>
        <w:t xml:space="preserve">. </w:t>
      </w:r>
      <w:r w:rsidRPr="00147AC6">
        <w:rPr>
          <w:rFonts w:ascii="Palatino Linotype" w:eastAsia="Calibri" w:hAnsi="Palatino Linotype" w:cs="Tahoma"/>
          <w:iCs/>
          <w:sz w:val="22"/>
          <w:szCs w:val="22"/>
          <w:lang w:eastAsia="es-ES_tradnl"/>
        </w:rPr>
        <w:t xml:space="preserve">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w:t>
      </w:r>
      <w:r w:rsidR="00220409">
        <w:rPr>
          <w:rFonts w:ascii="Palatino Linotype" w:eastAsia="Calibri" w:hAnsi="Palatino Linotype" w:cs="Tahoma"/>
          <w:iCs/>
          <w:sz w:val="22"/>
          <w:szCs w:val="22"/>
          <w:lang w:eastAsia="es-ES_tradnl"/>
        </w:rPr>
        <w:t>verificado</w:t>
      </w:r>
      <w:r w:rsidR="00220409" w:rsidRPr="00147AC6">
        <w:rPr>
          <w:rFonts w:ascii="Palatino Linotype" w:eastAsia="Calibri" w:hAnsi="Palatino Linotype" w:cs="Tahoma"/>
          <w:iCs/>
          <w:sz w:val="22"/>
          <w:szCs w:val="22"/>
          <w:lang w:eastAsia="es-ES_tradnl"/>
        </w:rPr>
        <w:t xml:space="preserve"> </w:t>
      </w:r>
      <w:r w:rsidRPr="00147AC6">
        <w:rPr>
          <w:rFonts w:ascii="Palatino Linotype" w:eastAsia="Calibri" w:hAnsi="Palatino Linotype" w:cs="Tahoma"/>
          <w:iCs/>
          <w:sz w:val="22"/>
          <w:szCs w:val="22"/>
          <w:lang w:eastAsia="es-ES_tradnl"/>
        </w:rPr>
        <w:t xml:space="preserve">la </w:t>
      </w:r>
      <w:r w:rsidR="00647EEE">
        <w:rPr>
          <w:rFonts w:ascii="Palatino Linotype" w:eastAsia="Calibri" w:hAnsi="Palatino Linotype" w:cs="Tahoma"/>
          <w:iCs/>
          <w:sz w:val="22"/>
          <w:szCs w:val="22"/>
          <w:lang w:eastAsia="es-ES_tradnl"/>
        </w:rPr>
        <w:t>anulación de la legislación de interés del Recurrente y, por tanto, la falta de obligación jurídica para que el Sujeto Obligado genere la información solicitada</w:t>
      </w:r>
      <w:r w:rsidRPr="00147AC6">
        <w:rPr>
          <w:rFonts w:ascii="Palatino Linotype" w:eastAsia="Calibri" w:hAnsi="Palatino Linotype" w:cs="Tahoma"/>
          <w:iCs/>
          <w:sz w:val="22"/>
          <w:szCs w:val="22"/>
          <w:lang w:eastAsia="es-ES_tradnl"/>
        </w:rPr>
        <w:t>, la controversia queda sin materia.</w:t>
      </w:r>
    </w:p>
    <w:p w:rsidR="00147AC6" w:rsidRPr="00147AC6" w:rsidRDefault="00147AC6" w:rsidP="00147AC6">
      <w:pPr>
        <w:tabs>
          <w:tab w:val="left" w:pos="4667"/>
        </w:tabs>
        <w:spacing w:line="360" w:lineRule="auto"/>
        <w:jc w:val="both"/>
        <w:rPr>
          <w:rFonts w:ascii="Palatino Linotype" w:eastAsia="Calibri" w:hAnsi="Palatino Linotype" w:cs="Tahoma"/>
          <w:iCs/>
          <w:sz w:val="22"/>
          <w:szCs w:val="22"/>
          <w:lang w:eastAsia="es-ES_tradnl"/>
        </w:rPr>
      </w:pPr>
    </w:p>
    <w:p w:rsidR="00147AC6" w:rsidRPr="00147AC6" w:rsidRDefault="00147AC6" w:rsidP="00147AC6">
      <w:pPr>
        <w:tabs>
          <w:tab w:val="left" w:pos="4667"/>
        </w:tabs>
        <w:spacing w:line="360" w:lineRule="auto"/>
        <w:jc w:val="both"/>
        <w:rPr>
          <w:rFonts w:ascii="Palatino Linotype" w:eastAsia="Calibri" w:hAnsi="Palatino Linotype" w:cs="Tahoma"/>
          <w:iCs/>
          <w:sz w:val="22"/>
          <w:szCs w:val="22"/>
          <w:lang w:eastAsia="es-ES_tradnl"/>
        </w:rPr>
      </w:pPr>
      <w:r w:rsidRPr="00147AC6">
        <w:rPr>
          <w:rFonts w:ascii="Palatino Linotype" w:eastAsia="Calibri" w:hAnsi="Palatino Linotype" w:cs="Tahoma"/>
          <w:iCs/>
          <w:sz w:val="22"/>
          <w:szCs w:val="22"/>
          <w:lang w:eastAsia="es-ES_tradnl"/>
        </w:rPr>
        <w:t xml:space="preserve">Por lo </w:t>
      </w:r>
      <w:r w:rsidR="00647EEE">
        <w:rPr>
          <w:rFonts w:ascii="Palatino Linotype" w:eastAsia="Calibri" w:hAnsi="Palatino Linotype" w:cs="Tahoma"/>
          <w:iCs/>
          <w:sz w:val="22"/>
          <w:szCs w:val="22"/>
          <w:lang w:eastAsia="es-ES_tradnl"/>
        </w:rPr>
        <w:t>anterior</w:t>
      </w:r>
      <w:r w:rsidRPr="00147AC6">
        <w:rPr>
          <w:rFonts w:ascii="Palatino Linotype" w:eastAsia="Calibri" w:hAnsi="Palatino Linotype" w:cs="Tahoma"/>
          <w:iCs/>
          <w:sz w:val="22"/>
          <w:szCs w:val="22"/>
          <w:lang w:eastAsia="es-ES_tradnl"/>
        </w:rPr>
        <w:t xml:space="preserve">, con fundamento en los artículos 186, fracción I y 192, fracción V, de la Ley de Transparencia y Acceso a la Información Pública del Estado de México y Municipios, se </w:t>
      </w:r>
      <w:r w:rsidRPr="00147AC6">
        <w:rPr>
          <w:rFonts w:ascii="Palatino Linotype" w:eastAsia="Calibri" w:hAnsi="Palatino Linotype" w:cs="Tahoma"/>
          <w:b/>
          <w:iCs/>
          <w:sz w:val="22"/>
          <w:szCs w:val="22"/>
          <w:lang w:eastAsia="es-ES_tradnl"/>
        </w:rPr>
        <w:t xml:space="preserve">SOBRESEE </w:t>
      </w:r>
      <w:r w:rsidR="00647EEE">
        <w:rPr>
          <w:rFonts w:ascii="Palatino Linotype" w:eastAsia="Calibri" w:hAnsi="Palatino Linotype" w:cs="Tahoma"/>
          <w:iCs/>
          <w:sz w:val="22"/>
          <w:szCs w:val="22"/>
          <w:lang w:eastAsia="es-ES_tradnl"/>
        </w:rPr>
        <w:t xml:space="preserve"> el recurso de revisión 04591</w:t>
      </w:r>
      <w:r w:rsidRPr="00147AC6">
        <w:rPr>
          <w:rFonts w:ascii="Palatino Linotype" w:eastAsia="Calibri" w:hAnsi="Palatino Linotype" w:cs="Tahoma"/>
          <w:iCs/>
          <w:sz w:val="22"/>
          <w:szCs w:val="22"/>
          <w:lang w:eastAsia="es-ES_tradnl"/>
        </w:rPr>
        <w:t xml:space="preserve">/INFOEM/IP/RR/2018, por quedar sin materia. </w:t>
      </w:r>
    </w:p>
    <w:p w:rsidR="00147AC6" w:rsidRDefault="00147AC6" w:rsidP="002B493B">
      <w:pPr>
        <w:tabs>
          <w:tab w:val="left" w:pos="4667"/>
        </w:tabs>
        <w:spacing w:line="360" w:lineRule="auto"/>
        <w:jc w:val="both"/>
        <w:rPr>
          <w:rFonts w:ascii="Palatino Linotype" w:eastAsia="Calibri" w:hAnsi="Palatino Linotype" w:cs="Tahoma"/>
          <w:iCs/>
          <w:sz w:val="22"/>
          <w:szCs w:val="22"/>
          <w:lang w:eastAsia="es-ES_tradnl"/>
        </w:rPr>
      </w:pPr>
    </w:p>
    <w:p w:rsidR="00647EEE" w:rsidRDefault="00647EEE" w:rsidP="00647EEE">
      <w:pPr>
        <w:spacing w:line="360" w:lineRule="auto"/>
        <w:ind w:right="-93"/>
        <w:jc w:val="both"/>
        <w:rPr>
          <w:rFonts w:ascii="Palatino Linotype" w:eastAsia="Calibri" w:hAnsi="Palatino Linotype" w:cs="Tahoma"/>
          <w:bCs/>
          <w:iCs/>
          <w:sz w:val="22"/>
          <w:szCs w:val="22"/>
          <w:lang w:eastAsia="es-ES_tradnl"/>
        </w:rPr>
      </w:pPr>
      <w:r w:rsidRPr="00647EEE">
        <w:rPr>
          <w:rFonts w:ascii="Palatino Linotype" w:eastAsia="Calibri" w:hAnsi="Palatino Linotype" w:cs="Tahoma"/>
          <w:bCs/>
          <w:iCs/>
          <w:sz w:val="22"/>
          <w:szCs w:val="22"/>
          <w:lang w:eastAsia="es-ES_tradnl"/>
        </w:rPr>
        <w:t>Por lo expuesto y fundado, este Pleno:</w:t>
      </w:r>
    </w:p>
    <w:p w:rsidR="00647EEE" w:rsidRPr="00647EEE" w:rsidRDefault="00647EEE" w:rsidP="00647EEE">
      <w:pPr>
        <w:spacing w:line="360" w:lineRule="auto"/>
        <w:ind w:right="-93"/>
        <w:jc w:val="both"/>
        <w:rPr>
          <w:rFonts w:ascii="Palatino Linotype" w:eastAsia="Calibri" w:hAnsi="Palatino Linotype" w:cs="Tahoma"/>
          <w:bCs/>
          <w:iCs/>
          <w:sz w:val="22"/>
          <w:szCs w:val="22"/>
          <w:lang w:eastAsia="es-ES_tradnl"/>
        </w:rPr>
      </w:pPr>
    </w:p>
    <w:p w:rsidR="00647EEE" w:rsidRPr="00647EEE" w:rsidRDefault="00647EEE" w:rsidP="00647EEE">
      <w:pPr>
        <w:spacing w:line="360" w:lineRule="auto"/>
        <w:ind w:right="-93"/>
        <w:jc w:val="center"/>
        <w:rPr>
          <w:rFonts w:ascii="Palatino Linotype" w:eastAsia="Calibri" w:hAnsi="Palatino Linotype" w:cs="Tahoma"/>
          <w:b/>
          <w:bCs/>
          <w:iCs/>
          <w:sz w:val="22"/>
          <w:szCs w:val="22"/>
          <w:lang w:val="es-ES_tradnl" w:eastAsia="es-ES_tradnl"/>
        </w:rPr>
      </w:pPr>
      <w:r w:rsidRPr="00647EEE">
        <w:rPr>
          <w:rFonts w:ascii="Palatino Linotype" w:eastAsia="Calibri" w:hAnsi="Palatino Linotype" w:cs="Tahoma"/>
          <w:b/>
          <w:bCs/>
          <w:iCs/>
          <w:sz w:val="22"/>
          <w:szCs w:val="22"/>
          <w:lang w:val="es-ES_tradnl" w:eastAsia="es-ES_tradnl"/>
        </w:rPr>
        <w:t>RESUELVE</w:t>
      </w:r>
    </w:p>
    <w:p w:rsidR="00647EEE" w:rsidRPr="00647EEE" w:rsidRDefault="00647EEE" w:rsidP="00647EEE">
      <w:pPr>
        <w:spacing w:line="360" w:lineRule="auto"/>
        <w:ind w:right="-93"/>
        <w:jc w:val="both"/>
        <w:rPr>
          <w:rFonts w:ascii="Palatino Linotype" w:eastAsia="Calibri" w:hAnsi="Palatino Linotype" w:cs="Tahoma"/>
          <w:b/>
          <w:bCs/>
          <w:iCs/>
          <w:sz w:val="22"/>
          <w:szCs w:val="22"/>
          <w:lang w:val="es-ES_tradnl" w:eastAsia="es-ES_tradnl"/>
        </w:rPr>
      </w:pPr>
    </w:p>
    <w:p w:rsidR="00647EEE" w:rsidRPr="00647EEE" w:rsidRDefault="00647EEE" w:rsidP="00647EEE">
      <w:pPr>
        <w:spacing w:line="360" w:lineRule="auto"/>
        <w:ind w:right="-93"/>
        <w:jc w:val="both"/>
        <w:rPr>
          <w:rFonts w:ascii="Palatino Linotype" w:eastAsia="Calibri" w:hAnsi="Palatino Linotype" w:cs="Tahoma"/>
          <w:iCs/>
          <w:sz w:val="22"/>
          <w:szCs w:val="22"/>
          <w:lang w:eastAsia="es-ES_tradnl"/>
        </w:rPr>
      </w:pPr>
      <w:r w:rsidRPr="00647EEE">
        <w:rPr>
          <w:rFonts w:ascii="Palatino Linotype" w:eastAsia="Calibri" w:hAnsi="Palatino Linotype" w:cs="Tahoma"/>
          <w:b/>
          <w:iCs/>
          <w:sz w:val="22"/>
          <w:szCs w:val="22"/>
          <w:lang w:eastAsia="es-ES_tradnl"/>
        </w:rPr>
        <w:t xml:space="preserve">PRIMERO. </w:t>
      </w:r>
      <w:r w:rsidRPr="00647EEE">
        <w:rPr>
          <w:rFonts w:ascii="Palatino Linotype" w:eastAsia="Calibri" w:hAnsi="Palatino Linotype" w:cs="Tahoma"/>
          <w:iCs/>
          <w:sz w:val="22"/>
          <w:szCs w:val="22"/>
          <w:lang w:eastAsia="es-ES_tradnl"/>
        </w:rPr>
        <w:t xml:space="preserve">Se </w:t>
      </w:r>
      <w:r w:rsidRPr="00647EEE">
        <w:rPr>
          <w:rFonts w:ascii="Palatino Linotype" w:eastAsia="Calibri" w:hAnsi="Palatino Linotype" w:cs="Tahoma"/>
          <w:b/>
          <w:iCs/>
          <w:sz w:val="22"/>
          <w:szCs w:val="22"/>
          <w:lang w:eastAsia="es-ES_tradnl"/>
        </w:rPr>
        <w:t>SOBRESEE</w:t>
      </w:r>
      <w:r w:rsidRPr="00647EEE">
        <w:rPr>
          <w:rFonts w:ascii="Palatino Linotype" w:eastAsia="Calibri" w:hAnsi="Palatino Linotype" w:cs="Tahoma"/>
          <w:iCs/>
          <w:sz w:val="22"/>
          <w:szCs w:val="22"/>
          <w:lang w:eastAsia="es-ES_tradnl"/>
        </w:rPr>
        <w:t xml:space="preserve"> el Recurso de Revisión número </w:t>
      </w:r>
      <w:r>
        <w:rPr>
          <w:rFonts w:ascii="Palatino Linotype" w:eastAsia="Calibri" w:hAnsi="Palatino Linotype" w:cs="Tahoma"/>
          <w:iCs/>
          <w:sz w:val="22"/>
          <w:szCs w:val="22"/>
          <w:lang w:eastAsia="es-ES_tradnl"/>
        </w:rPr>
        <w:t>04591</w:t>
      </w:r>
      <w:r w:rsidRPr="00647EEE">
        <w:rPr>
          <w:rFonts w:ascii="Palatino Linotype" w:eastAsia="Calibri" w:hAnsi="Palatino Linotype" w:cs="Tahoma"/>
          <w:iCs/>
          <w:sz w:val="22"/>
          <w:szCs w:val="22"/>
          <w:lang w:eastAsia="es-ES_tradnl"/>
        </w:rPr>
        <w:t xml:space="preserve">/INFOEM/IP/RR/2018, </w:t>
      </w:r>
      <w:r>
        <w:rPr>
          <w:rFonts w:ascii="Palatino Linotype" w:eastAsia="Calibri" w:hAnsi="Palatino Linotype" w:cs="Tahoma"/>
          <w:b/>
          <w:iCs/>
          <w:sz w:val="22"/>
          <w:szCs w:val="22"/>
          <w:lang w:eastAsia="es-ES_tradnl"/>
        </w:rPr>
        <w:t>por quedar</w:t>
      </w:r>
      <w:r w:rsidRPr="00647EEE">
        <w:rPr>
          <w:rFonts w:ascii="Palatino Linotype" w:eastAsia="Calibri" w:hAnsi="Palatino Linotype" w:cs="Tahoma"/>
          <w:b/>
          <w:iCs/>
          <w:sz w:val="22"/>
          <w:szCs w:val="22"/>
          <w:lang w:eastAsia="es-ES_tradnl"/>
        </w:rPr>
        <w:t xml:space="preserve"> sin materia</w:t>
      </w:r>
      <w:r w:rsidRPr="00647EEE">
        <w:rPr>
          <w:rFonts w:ascii="Palatino Linotype" w:eastAsia="Calibri" w:hAnsi="Palatino Linotype" w:cs="Tahoma"/>
          <w:iCs/>
          <w:sz w:val="22"/>
          <w:szCs w:val="22"/>
          <w:lang w:eastAsia="es-ES_tradnl"/>
        </w:rPr>
        <w:t>, en términos del Considerando SEGUNDO de la presente Resolución.</w:t>
      </w:r>
    </w:p>
    <w:p w:rsidR="00647EEE" w:rsidRPr="00647EEE" w:rsidRDefault="00647EEE" w:rsidP="00647EEE">
      <w:pPr>
        <w:spacing w:line="360" w:lineRule="auto"/>
        <w:ind w:right="-93"/>
        <w:jc w:val="both"/>
        <w:rPr>
          <w:rFonts w:ascii="Palatino Linotype" w:eastAsia="Calibri" w:hAnsi="Palatino Linotype" w:cs="Tahoma"/>
          <w:i/>
          <w:iCs/>
          <w:sz w:val="22"/>
          <w:szCs w:val="22"/>
          <w:lang w:val="es-ES_tradnl" w:eastAsia="es-ES_tradnl"/>
        </w:rPr>
      </w:pPr>
    </w:p>
    <w:p w:rsidR="00647EEE" w:rsidRPr="00647EEE" w:rsidRDefault="00647EEE" w:rsidP="00647EEE">
      <w:pPr>
        <w:spacing w:line="360" w:lineRule="auto"/>
        <w:ind w:right="-93"/>
        <w:jc w:val="both"/>
        <w:rPr>
          <w:rFonts w:ascii="Palatino Linotype" w:eastAsia="Calibri" w:hAnsi="Palatino Linotype" w:cs="Tahoma"/>
          <w:i/>
          <w:iCs/>
          <w:sz w:val="22"/>
          <w:szCs w:val="22"/>
          <w:lang w:eastAsia="es-ES_tradnl"/>
        </w:rPr>
      </w:pPr>
      <w:r w:rsidRPr="00647EEE">
        <w:rPr>
          <w:rFonts w:ascii="Palatino Linotype" w:eastAsia="Calibri" w:hAnsi="Palatino Linotype" w:cs="Tahoma"/>
          <w:b/>
          <w:iCs/>
          <w:sz w:val="22"/>
          <w:szCs w:val="22"/>
          <w:lang w:eastAsia="es-ES_tradnl"/>
        </w:rPr>
        <w:lastRenderedPageBreak/>
        <w:t>SEGUNDO.</w:t>
      </w:r>
      <w:r w:rsidRPr="00647EEE">
        <w:rPr>
          <w:rFonts w:ascii="Palatino Linotype" w:eastAsia="Calibri" w:hAnsi="Palatino Linotype" w:cs="Tahoma"/>
          <w:iCs/>
          <w:sz w:val="22"/>
          <w:szCs w:val="22"/>
          <w:lang w:eastAsia="es-ES_tradnl"/>
        </w:rPr>
        <w:t xml:space="preserve"> </w:t>
      </w:r>
      <w:r w:rsidRPr="00647EEE">
        <w:rPr>
          <w:rFonts w:ascii="Palatino Linotype" w:eastAsia="Calibri" w:hAnsi="Palatino Linotype" w:cs="Tahoma"/>
          <w:b/>
          <w:iCs/>
          <w:sz w:val="22"/>
          <w:szCs w:val="22"/>
          <w:lang w:eastAsia="es-ES_tradnl"/>
        </w:rPr>
        <w:t xml:space="preserve">NOTIFÍQUESE </w:t>
      </w:r>
      <w:r w:rsidRPr="00647EEE">
        <w:rPr>
          <w:rFonts w:ascii="Palatino Linotype" w:eastAsia="Calibri" w:hAnsi="Palatino Linotype" w:cs="Tahoma"/>
          <w:iCs/>
          <w:sz w:val="22"/>
          <w:szCs w:val="22"/>
          <w:lang w:eastAsia="es-ES_tradnl"/>
        </w:rPr>
        <w:t>la presente resolución al Titular de la Unidad de Transparencia del Sujeto Obligado.</w:t>
      </w:r>
    </w:p>
    <w:p w:rsidR="00647EEE" w:rsidRPr="00647EEE" w:rsidRDefault="00647EEE" w:rsidP="00647EEE">
      <w:pPr>
        <w:spacing w:line="360" w:lineRule="auto"/>
        <w:ind w:right="-93"/>
        <w:jc w:val="both"/>
        <w:rPr>
          <w:rFonts w:ascii="Palatino Linotype" w:eastAsia="Calibri" w:hAnsi="Palatino Linotype" w:cs="Tahoma"/>
          <w:iCs/>
          <w:sz w:val="22"/>
          <w:szCs w:val="22"/>
          <w:lang w:eastAsia="es-ES_tradnl"/>
        </w:rPr>
      </w:pPr>
    </w:p>
    <w:p w:rsidR="00647EEE" w:rsidRPr="00647EEE" w:rsidRDefault="00647EEE" w:rsidP="00647EEE">
      <w:pPr>
        <w:spacing w:line="360" w:lineRule="auto"/>
        <w:ind w:right="-93"/>
        <w:jc w:val="both"/>
        <w:rPr>
          <w:rFonts w:ascii="Palatino Linotype" w:eastAsia="Calibri" w:hAnsi="Palatino Linotype" w:cs="Tahoma"/>
          <w:iCs/>
          <w:sz w:val="22"/>
          <w:szCs w:val="22"/>
          <w:lang w:eastAsia="es-ES_tradnl"/>
        </w:rPr>
      </w:pPr>
      <w:r w:rsidRPr="00647EEE">
        <w:rPr>
          <w:rFonts w:ascii="Palatino Linotype" w:eastAsia="Calibri" w:hAnsi="Palatino Linotype" w:cs="Tahoma"/>
          <w:b/>
          <w:iCs/>
          <w:sz w:val="22"/>
          <w:szCs w:val="22"/>
          <w:lang w:eastAsia="es-ES_tradnl"/>
        </w:rPr>
        <w:t>TERCERO.</w:t>
      </w:r>
      <w:r w:rsidRPr="00647EEE">
        <w:rPr>
          <w:rFonts w:ascii="Palatino Linotype" w:eastAsia="Calibri" w:hAnsi="Palatino Linotype" w:cs="Tahoma"/>
          <w:iCs/>
          <w:sz w:val="22"/>
          <w:szCs w:val="22"/>
          <w:lang w:eastAsia="es-ES_tradnl"/>
        </w:rPr>
        <w:t xml:space="preserve"> </w:t>
      </w:r>
      <w:r w:rsidRPr="00647EEE">
        <w:rPr>
          <w:rFonts w:ascii="Palatino Linotype" w:eastAsia="Calibri" w:hAnsi="Palatino Linotype" w:cs="Tahoma"/>
          <w:b/>
          <w:iCs/>
          <w:sz w:val="22"/>
          <w:szCs w:val="22"/>
          <w:lang w:eastAsia="es-ES_tradnl"/>
        </w:rPr>
        <w:t>NOTIFÍQUESE</w:t>
      </w:r>
      <w:r w:rsidRPr="00647EEE">
        <w:rPr>
          <w:rFonts w:ascii="Palatino Linotype" w:eastAsia="Calibri" w:hAnsi="Palatino Linotype" w:cs="Tahoma"/>
          <w:iCs/>
          <w:sz w:val="22"/>
          <w:szCs w:val="22"/>
          <w:lang w:eastAsia="es-ES_tradnl"/>
        </w:rPr>
        <w:t xml:space="preserve"> al Recurrente vía Sistema de Acceso a la Información Mexiquense (SAIMEX)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47EEE" w:rsidRPr="00647EEE" w:rsidRDefault="00647EEE" w:rsidP="00647EEE">
      <w:pPr>
        <w:spacing w:line="360" w:lineRule="auto"/>
        <w:ind w:right="-93"/>
        <w:jc w:val="both"/>
        <w:rPr>
          <w:rFonts w:ascii="Palatino Linotype" w:eastAsia="Calibri" w:hAnsi="Palatino Linotype" w:cs="Tahoma"/>
          <w:b/>
          <w:iCs/>
          <w:sz w:val="22"/>
          <w:szCs w:val="22"/>
          <w:lang w:eastAsia="es-ES_tradnl"/>
        </w:rPr>
      </w:pPr>
    </w:p>
    <w:p w:rsidR="00806E45" w:rsidRPr="00EF6C74" w:rsidRDefault="00FC1754" w:rsidP="00FC1754">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sz w:val="22"/>
          <w:szCs w:val="22"/>
          <w:lang w:val="es-ES_tradnl" w:eastAsia="en-US"/>
        </w:rPr>
        <w:t xml:space="preserve">ASÍ, POR </w:t>
      </w:r>
      <w:r w:rsidRPr="00705B73">
        <w:rPr>
          <w:rFonts w:ascii="Palatino Linotype" w:eastAsia="Calibri" w:hAnsi="Palatino Linotype" w:cs="Tahoma"/>
          <w:b/>
          <w:bCs/>
          <w:sz w:val="22"/>
          <w:szCs w:val="22"/>
          <w:lang w:val="es-ES_tradnl" w:eastAsia="en-US"/>
        </w:rPr>
        <w:t>UNANIMIDAD</w:t>
      </w:r>
      <w:r w:rsidRPr="00EF6C74">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MAR</w:t>
      </w:r>
      <w:r w:rsidR="00142BC8">
        <w:rPr>
          <w:rFonts w:ascii="Palatino Linotype" w:eastAsia="Calibri" w:hAnsi="Palatino Linotype" w:cs="Tahoma"/>
          <w:bCs/>
          <w:sz w:val="22"/>
          <w:szCs w:val="22"/>
          <w:lang w:val="es-ES_tradnl" w:eastAsia="en-US"/>
        </w:rPr>
        <w:t xml:space="preserve">TÍNEZ SÁNCHEZ; EVA ABAID YAPUR; </w:t>
      </w:r>
      <w:r w:rsidRPr="00EF6C74">
        <w:rPr>
          <w:rFonts w:ascii="Palatino Linotype" w:eastAsia="Calibri" w:hAnsi="Palatino Linotype" w:cs="Tahoma"/>
          <w:bCs/>
          <w:sz w:val="22"/>
          <w:szCs w:val="22"/>
          <w:lang w:val="es-ES_tradnl" w:eastAsia="en-US"/>
        </w:rPr>
        <w:t xml:space="preserve">JOSÉ GUADALUPE LUNA HERNÁNDEZ; JAVIER MARTÍNEZ CRUZ Y, LUIS GUSTAVO PARRA NORIEGA, EN LA </w:t>
      </w:r>
      <w:r w:rsidR="00647EEE">
        <w:rPr>
          <w:rFonts w:ascii="Palatino Linotype" w:eastAsia="Calibri" w:hAnsi="Palatino Linotype" w:cs="Tahoma"/>
          <w:bCs/>
          <w:sz w:val="22"/>
          <w:szCs w:val="22"/>
          <w:lang w:val="es-ES_tradnl" w:eastAsia="en-US"/>
        </w:rPr>
        <w:t>SEXTA</w:t>
      </w:r>
      <w:r w:rsidRPr="00EF6C74">
        <w:rPr>
          <w:rFonts w:ascii="Palatino Linotype" w:eastAsia="Calibri" w:hAnsi="Palatino Linotype" w:cs="Tahoma"/>
          <w:bCs/>
          <w:sz w:val="22"/>
          <w:szCs w:val="22"/>
          <w:lang w:val="es-ES_tradnl" w:eastAsia="en-US"/>
        </w:rPr>
        <w:t xml:space="preserve"> SESIÓN ORDINARIA, CELEBRADA EL </w:t>
      </w:r>
      <w:r w:rsidR="00647EEE">
        <w:rPr>
          <w:rFonts w:ascii="Palatino Linotype" w:eastAsia="Calibri" w:hAnsi="Palatino Linotype" w:cs="Tahoma"/>
          <w:bCs/>
          <w:sz w:val="22"/>
          <w:szCs w:val="22"/>
          <w:lang w:val="es-ES_tradnl" w:eastAsia="en-US"/>
        </w:rPr>
        <w:t>TRECE DE FEBRERO</w:t>
      </w:r>
      <w:r w:rsidR="00EF6C74">
        <w:rPr>
          <w:rFonts w:ascii="Palatino Linotype" w:eastAsia="Calibri" w:hAnsi="Palatino Linotype" w:cs="Tahoma"/>
          <w:bCs/>
          <w:sz w:val="22"/>
          <w:szCs w:val="22"/>
          <w:lang w:val="es-ES_tradnl" w:eastAsia="en-US"/>
        </w:rPr>
        <w:t xml:space="preserve"> DE DOS MIL DIECINUEVE</w:t>
      </w:r>
      <w:r w:rsidRPr="00EF6C74">
        <w:rPr>
          <w:rFonts w:ascii="Palatino Linotype" w:eastAsia="Calibri" w:hAnsi="Palatino Linotype" w:cs="Tahoma"/>
          <w:bCs/>
          <w:sz w:val="22"/>
          <w:szCs w:val="22"/>
          <w:lang w:val="es-ES_tradnl" w:eastAsia="en-US"/>
        </w:rPr>
        <w:t>, ANTE EL SECRETARIO TÉCNICO DEL PLENO, ALEXIS TAPIA RAMÍREZ.</w:t>
      </w:r>
    </w:p>
    <w:p w:rsidR="00806E45" w:rsidRDefault="00806E45" w:rsidP="00806E45">
      <w:pPr>
        <w:spacing w:line="360" w:lineRule="auto"/>
        <w:ind w:right="-93"/>
        <w:jc w:val="both"/>
        <w:rPr>
          <w:rFonts w:ascii="Palatino Linotype" w:eastAsia="Calibri" w:hAnsi="Palatino Linotype" w:cs="Tahoma"/>
          <w:bCs/>
          <w:sz w:val="22"/>
          <w:szCs w:val="22"/>
          <w:lang w:eastAsia="en-US"/>
        </w:rPr>
      </w:pPr>
    </w:p>
    <w:p w:rsidR="00EF6C74" w:rsidRDefault="00EF6C74" w:rsidP="00806E45">
      <w:pPr>
        <w:spacing w:line="360" w:lineRule="auto"/>
        <w:ind w:right="-93"/>
        <w:jc w:val="both"/>
        <w:rPr>
          <w:rFonts w:ascii="Palatino Linotype" w:eastAsia="Calibri" w:hAnsi="Palatino Linotype" w:cs="Tahoma"/>
          <w:bCs/>
          <w:sz w:val="22"/>
          <w:szCs w:val="22"/>
          <w:lang w:eastAsia="en-US"/>
        </w:rPr>
      </w:pPr>
    </w:p>
    <w:p w:rsidR="00045E8C" w:rsidRDefault="00045E8C" w:rsidP="00806E45">
      <w:pPr>
        <w:spacing w:line="360" w:lineRule="auto"/>
        <w:ind w:right="-93"/>
        <w:jc w:val="both"/>
        <w:rPr>
          <w:rFonts w:ascii="Palatino Linotype" w:eastAsia="Calibri" w:hAnsi="Palatino Linotype" w:cs="Tahoma"/>
          <w:bCs/>
          <w:sz w:val="22"/>
          <w:szCs w:val="22"/>
          <w:lang w:eastAsia="en-US"/>
        </w:rPr>
      </w:pPr>
    </w:p>
    <w:p w:rsidR="00EF6C74" w:rsidRDefault="00EF6C74" w:rsidP="00806E45">
      <w:pPr>
        <w:spacing w:line="360" w:lineRule="auto"/>
        <w:ind w:right="-93"/>
        <w:jc w:val="both"/>
        <w:rPr>
          <w:rFonts w:ascii="Palatino Linotype" w:eastAsia="Calibri" w:hAnsi="Palatino Linotype" w:cs="Tahoma"/>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47AC6" w:rsidRPr="00142BC8" w:rsidRDefault="00147AC6" w:rsidP="002A17C7">
                            <w:pPr>
                              <w:jc w:val="center"/>
                              <w:rPr>
                                <w:rFonts w:ascii="Palatino Linotype" w:hAnsi="Palatino Linotype" w:cs="Tahoma"/>
                                <w:sz w:val="22"/>
                                <w:szCs w:val="24"/>
                              </w:rPr>
                            </w:pPr>
                            <w:r w:rsidRPr="00142BC8">
                              <w:rPr>
                                <w:rFonts w:ascii="Palatino Linotype" w:hAnsi="Palatino Linotype" w:cs="Tahoma"/>
                                <w:b/>
                                <w:sz w:val="22"/>
                                <w:szCs w:val="24"/>
                              </w:rPr>
                              <w:t>Zulema Martínez Sánchez</w:t>
                            </w:r>
                          </w:p>
                          <w:p w:rsidR="00147AC6" w:rsidRPr="00142BC8" w:rsidRDefault="00147AC6" w:rsidP="002A17C7">
                            <w:pPr>
                              <w:jc w:val="center"/>
                              <w:rPr>
                                <w:rFonts w:ascii="Palatino Linotype" w:hAnsi="Palatino Linotype" w:cs="Tahoma"/>
                                <w:sz w:val="22"/>
                                <w:szCs w:val="24"/>
                              </w:rPr>
                            </w:pPr>
                            <w:r w:rsidRPr="00142BC8">
                              <w:rPr>
                                <w:rFonts w:ascii="Palatino Linotype" w:hAnsi="Palatino Linotype" w:cs="Tahoma"/>
                                <w:sz w:val="22"/>
                                <w:szCs w:val="24"/>
                              </w:rPr>
                              <w:t>Comisionada Presidenta</w:t>
                            </w:r>
                          </w:p>
                          <w:p w:rsidR="00147AC6" w:rsidRPr="00142BC8" w:rsidRDefault="00147AC6" w:rsidP="002A17C7">
                            <w:pPr>
                              <w:jc w:val="center"/>
                              <w:rPr>
                                <w:rFonts w:ascii="Palatino Linotype" w:hAnsi="Palatino Linotype"/>
                                <w:b/>
                                <w:sz w:val="22"/>
                                <w:szCs w:val="24"/>
                              </w:rPr>
                            </w:pPr>
                            <w:r w:rsidRPr="00142BC8">
                              <w:rPr>
                                <w:rFonts w:ascii="Palatino Linotype" w:hAnsi="Palatino Linotype"/>
                                <w:b/>
                                <w:sz w:val="22"/>
                                <w:szCs w:val="24"/>
                              </w:rPr>
                              <w:t>(Rúbrica)</w:t>
                            </w:r>
                          </w:p>
                          <w:p w:rsidR="00147AC6" w:rsidRPr="00016AF3" w:rsidRDefault="00147AC6"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rsidR="00147AC6" w:rsidRPr="00142BC8" w:rsidRDefault="00147AC6" w:rsidP="002A17C7">
                      <w:pPr>
                        <w:jc w:val="center"/>
                        <w:rPr>
                          <w:rFonts w:ascii="Palatino Linotype" w:hAnsi="Palatino Linotype" w:cs="Tahoma"/>
                          <w:sz w:val="22"/>
                          <w:szCs w:val="24"/>
                        </w:rPr>
                      </w:pPr>
                      <w:r w:rsidRPr="00142BC8">
                        <w:rPr>
                          <w:rFonts w:ascii="Palatino Linotype" w:hAnsi="Palatino Linotype" w:cs="Tahoma"/>
                          <w:b/>
                          <w:sz w:val="22"/>
                          <w:szCs w:val="24"/>
                        </w:rPr>
                        <w:t>Zulema Martínez Sánchez</w:t>
                      </w:r>
                    </w:p>
                    <w:p w:rsidR="00147AC6" w:rsidRPr="00142BC8" w:rsidRDefault="00147AC6" w:rsidP="002A17C7">
                      <w:pPr>
                        <w:jc w:val="center"/>
                        <w:rPr>
                          <w:rFonts w:ascii="Palatino Linotype" w:hAnsi="Palatino Linotype" w:cs="Tahoma"/>
                          <w:sz w:val="22"/>
                          <w:szCs w:val="24"/>
                        </w:rPr>
                      </w:pPr>
                      <w:r w:rsidRPr="00142BC8">
                        <w:rPr>
                          <w:rFonts w:ascii="Palatino Linotype" w:hAnsi="Palatino Linotype" w:cs="Tahoma"/>
                          <w:sz w:val="22"/>
                          <w:szCs w:val="24"/>
                        </w:rPr>
                        <w:t>Comisionada Presidenta</w:t>
                      </w:r>
                    </w:p>
                    <w:p w:rsidR="00147AC6" w:rsidRPr="00142BC8" w:rsidRDefault="00147AC6" w:rsidP="002A17C7">
                      <w:pPr>
                        <w:jc w:val="center"/>
                        <w:rPr>
                          <w:rFonts w:ascii="Palatino Linotype" w:hAnsi="Palatino Linotype"/>
                          <w:b/>
                          <w:sz w:val="22"/>
                          <w:szCs w:val="24"/>
                        </w:rPr>
                      </w:pPr>
                      <w:r w:rsidRPr="00142BC8">
                        <w:rPr>
                          <w:rFonts w:ascii="Palatino Linotype" w:hAnsi="Palatino Linotype"/>
                          <w:b/>
                          <w:sz w:val="22"/>
                          <w:szCs w:val="24"/>
                        </w:rPr>
                        <w:t>(Rúbrica)</w:t>
                      </w:r>
                    </w:p>
                    <w:p w:rsidR="00147AC6" w:rsidRPr="00016AF3" w:rsidRDefault="00147AC6" w:rsidP="002A17C7">
                      <w:pPr>
                        <w:jc w:val="center"/>
                        <w:rPr>
                          <w:rFonts w:ascii="Palatino Linotype" w:hAnsi="Palatino Linotype"/>
                          <w:b/>
                          <w:sz w:val="24"/>
                          <w:szCs w:val="24"/>
                        </w:rPr>
                      </w:pPr>
                    </w:p>
                  </w:txbxContent>
                </v:textbox>
                <w10:wrap anchorx="margin"/>
              </v:shape>
            </w:pict>
          </mc:Fallback>
        </mc:AlternateContent>
      </w: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Default="00806E45" w:rsidP="00806E45">
      <w:pPr>
        <w:spacing w:line="360" w:lineRule="auto"/>
        <w:ind w:right="-93"/>
        <w:jc w:val="both"/>
        <w:rPr>
          <w:rFonts w:ascii="Palatino Linotype" w:eastAsia="Calibri" w:hAnsi="Palatino Linotype" w:cs="Tahoma"/>
          <w:b/>
          <w:bCs/>
          <w:sz w:val="22"/>
          <w:szCs w:val="22"/>
          <w:lang w:eastAsia="en-US"/>
        </w:rPr>
      </w:pPr>
    </w:p>
    <w:p w:rsidR="00045E8C" w:rsidRDefault="00045E8C" w:rsidP="00806E45">
      <w:pPr>
        <w:spacing w:line="360" w:lineRule="auto"/>
        <w:ind w:right="-93"/>
        <w:jc w:val="both"/>
        <w:rPr>
          <w:rFonts w:ascii="Palatino Linotype" w:eastAsia="Calibri" w:hAnsi="Palatino Linotype" w:cs="Tahoma"/>
          <w:b/>
          <w:bCs/>
          <w:sz w:val="22"/>
          <w:szCs w:val="22"/>
          <w:lang w:eastAsia="en-US"/>
        </w:rPr>
      </w:pPr>
    </w:p>
    <w:p w:rsidR="00694021" w:rsidRDefault="00694021" w:rsidP="00806E45">
      <w:pPr>
        <w:spacing w:line="360" w:lineRule="auto"/>
        <w:ind w:right="-93"/>
        <w:jc w:val="both"/>
        <w:rPr>
          <w:rFonts w:ascii="Palatino Linotype" w:eastAsia="Calibri" w:hAnsi="Palatino Linotype" w:cs="Tahoma"/>
          <w:b/>
          <w:bCs/>
          <w:sz w:val="22"/>
          <w:szCs w:val="22"/>
          <w:lang w:eastAsia="en-US"/>
        </w:rPr>
      </w:pPr>
    </w:p>
    <w:p w:rsidR="00045E8C" w:rsidRPr="00EF6C74" w:rsidRDefault="00045E8C"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2A17C7" w:rsidP="00806E45">
      <w:pPr>
        <w:spacing w:line="360" w:lineRule="auto"/>
        <w:ind w:right="-93"/>
        <w:jc w:val="both"/>
        <w:rPr>
          <w:rFonts w:ascii="Palatino Linotype" w:eastAsia="Calibri" w:hAnsi="Palatino Linotype" w:cs="Tahoma"/>
          <w:b/>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47AC6" w:rsidRPr="00142BC8" w:rsidRDefault="00147AC6" w:rsidP="00806E45">
                            <w:pPr>
                              <w:jc w:val="center"/>
                              <w:rPr>
                                <w:rFonts w:ascii="Palatino Linotype" w:hAnsi="Palatino Linotype" w:cs="Tahoma"/>
                                <w:sz w:val="22"/>
                                <w:szCs w:val="22"/>
                              </w:rPr>
                            </w:pPr>
                            <w:r w:rsidRPr="00142BC8">
                              <w:rPr>
                                <w:rFonts w:ascii="Palatino Linotype" w:hAnsi="Palatino Linotype" w:cs="Tahoma"/>
                                <w:b/>
                                <w:sz w:val="22"/>
                                <w:szCs w:val="22"/>
                              </w:rPr>
                              <w:t>José Guadalupe Luna Hernández</w:t>
                            </w:r>
                          </w:p>
                          <w:p w:rsidR="00147AC6" w:rsidRPr="00142BC8" w:rsidRDefault="00147AC6" w:rsidP="00806E45">
                            <w:pPr>
                              <w:jc w:val="center"/>
                              <w:rPr>
                                <w:rFonts w:ascii="Palatino Linotype" w:hAnsi="Palatino Linotype" w:cs="Tahoma"/>
                                <w:sz w:val="22"/>
                                <w:szCs w:val="22"/>
                              </w:rPr>
                            </w:pPr>
                            <w:r w:rsidRPr="00142BC8">
                              <w:rPr>
                                <w:rFonts w:ascii="Palatino Linotype" w:hAnsi="Palatino Linotype" w:cs="Tahoma"/>
                                <w:sz w:val="22"/>
                                <w:szCs w:val="22"/>
                              </w:rPr>
                              <w:t>Comisionado</w:t>
                            </w:r>
                          </w:p>
                          <w:p w:rsidR="00147AC6" w:rsidRPr="00142BC8" w:rsidRDefault="00147AC6" w:rsidP="00806E45">
                            <w:pPr>
                              <w:jc w:val="center"/>
                              <w:rPr>
                                <w:rFonts w:ascii="Palatino Linotype" w:hAnsi="Palatino Linotype"/>
                                <w:b/>
                                <w:sz w:val="22"/>
                                <w:szCs w:val="22"/>
                              </w:rPr>
                            </w:pPr>
                            <w:r w:rsidRPr="00142BC8">
                              <w:rPr>
                                <w:rFonts w:ascii="Palatino Linotype" w:hAnsi="Palatino Linotype"/>
                                <w:b/>
                                <w:sz w:val="22"/>
                                <w:szCs w:val="22"/>
                              </w:rPr>
                              <w:t>(Rúbrica)</w:t>
                            </w:r>
                          </w:p>
                          <w:p w:rsidR="00147AC6" w:rsidRPr="00797B31" w:rsidRDefault="00147AC6"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B182A3"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rsidR="00147AC6" w:rsidRPr="00142BC8" w:rsidRDefault="00147AC6" w:rsidP="00806E45">
                      <w:pPr>
                        <w:jc w:val="center"/>
                        <w:rPr>
                          <w:rFonts w:ascii="Palatino Linotype" w:hAnsi="Palatino Linotype" w:cs="Tahoma"/>
                          <w:sz w:val="22"/>
                          <w:szCs w:val="22"/>
                        </w:rPr>
                      </w:pPr>
                      <w:r w:rsidRPr="00142BC8">
                        <w:rPr>
                          <w:rFonts w:ascii="Palatino Linotype" w:hAnsi="Palatino Linotype" w:cs="Tahoma"/>
                          <w:b/>
                          <w:sz w:val="22"/>
                          <w:szCs w:val="22"/>
                        </w:rPr>
                        <w:t>José Guadalupe Luna Hernández</w:t>
                      </w:r>
                    </w:p>
                    <w:p w:rsidR="00147AC6" w:rsidRPr="00142BC8" w:rsidRDefault="00147AC6" w:rsidP="00806E45">
                      <w:pPr>
                        <w:jc w:val="center"/>
                        <w:rPr>
                          <w:rFonts w:ascii="Palatino Linotype" w:hAnsi="Palatino Linotype" w:cs="Tahoma"/>
                          <w:sz w:val="22"/>
                          <w:szCs w:val="22"/>
                        </w:rPr>
                      </w:pPr>
                      <w:r w:rsidRPr="00142BC8">
                        <w:rPr>
                          <w:rFonts w:ascii="Palatino Linotype" w:hAnsi="Palatino Linotype" w:cs="Tahoma"/>
                          <w:sz w:val="22"/>
                          <w:szCs w:val="22"/>
                        </w:rPr>
                        <w:t>Comisionado</w:t>
                      </w:r>
                    </w:p>
                    <w:p w:rsidR="00147AC6" w:rsidRPr="00142BC8" w:rsidRDefault="00147AC6" w:rsidP="00806E45">
                      <w:pPr>
                        <w:jc w:val="center"/>
                        <w:rPr>
                          <w:rFonts w:ascii="Palatino Linotype" w:hAnsi="Palatino Linotype"/>
                          <w:b/>
                          <w:sz w:val="22"/>
                          <w:szCs w:val="22"/>
                        </w:rPr>
                      </w:pPr>
                      <w:r w:rsidRPr="00142BC8">
                        <w:rPr>
                          <w:rFonts w:ascii="Palatino Linotype" w:hAnsi="Palatino Linotype"/>
                          <w:b/>
                          <w:sz w:val="22"/>
                          <w:szCs w:val="22"/>
                        </w:rPr>
                        <w:t>(Rúbrica)</w:t>
                      </w:r>
                    </w:p>
                    <w:p w:rsidR="00147AC6" w:rsidRPr="00797B31" w:rsidRDefault="00147AC6" w:rsidP="00806E45">
                      <w:pPr>
                        <w:jc w:val="center"/>
                        <w:rPr>
                          <w:rFonts w:ascii="Palatino Linotype" w:hAnsi="Palatino Linotype"/>
                          <w:sz w:val="24"/>
                          <w:szCs w:val="24"/>
                        </w:rPr>
                      </w:pPr>
                    </w:p>
                  </w:txbxContent>
                </v:textbox>
                <w10:wrap anchorx="margin"/>
              </v:shape>
            </w:pict>
          </mc:Fallback>
        </mc:AlternateContent>
      </w: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47AC6" w:rsidRPr="00142BC8" w:rsidRDefault="00147AC6" w:rsidP="00806E45">
                            <w:pPr>
                              <w:jc w:val="center"/>
                              <w:rPr>
                                <w:rFonts w:ascii="Palatino Linotype" w:hAnsi="Palatino Linotype" w:cs="Tahoma"/>
                                <w:b/>
                                <w:sz w:val="22"/>
                                <w:szCs w:val="22"/>
                              </w:rPr>
                            </w:pPr>
                            <w:r w:rsidRPr="00142BC8">
                              <w:rPr>
                                <w:rFonts w:ascii="Palatino Linotype" w:hAnsi="Palatino Linotype" w:cs="Tahoma"/>
                                <w:b/>
                                <w:sz w:val="22"/>
                                <w:szCs w:val="22"/>
                              </w:rPr>
                              <w:t>Eva Abaid Yapur</w:t>
                            </w:r>
                          </w:p>
                          <w:p w:rsidR="00147AC6" w:rsidRPr="00142BC8" w:rsidRDefault="00147AC6" w:rsidP="00806E45">
                            <w:pPr>
                              <w:jc w:val="center"/>
                              <w:rPr>
                                <w:rFonts w:ascii="Palatino Linotype" w:hAnsi="Palatino Linotype" w:cs="Tahoma"/>
                                <w:sz w:val="22"/>
                                <w:szCs w:val="22"/>
                              </w:rPr>
                            </w:pPr>
                            <w:r w:rsidRPr="00142BC8">
                              <w:rPr>
                                <w:rFonts w:ascii="Palatino Linotype" w:hAnsi="Palatino Linotype" w:cs="Tahoma"/>
                                <w:sz w:val="22"/>
                                <w:szCs w:val="22"/>
                              </w:rPr>
                              <w:t>Comisionada</w:t>
                            </w:r>
                          </w:p>
                          <w:p w:rsidR="00147AC6" w:rsidRPr="00142BC8" w:rsidRDefault="00147AC6" w:rsidP="00806E45">
                            <w:pPr>
                              <w:jc w:val="center"/>
                              <w:rPr>
                                <w:rFonts w:ascii="Palatino Linotype" w:hAnsi="Palatino Linotype"/>
                                <w:b/>
                                <w:sz w:val="22"/>
                                <w:szCs w:val="22"/>
                              </w:rPr>
                            </w:pPr>
                            <w:r w:rsidRPr="00142BC8">
                              <w:rPr>
                                <w:rFonts w:ascii="Palatino Linotype" w:hAnsi="Palatino Linotype"/>
                                <w:b/>
                                <w:sz w:val="22"/>
                                <w:szCs w:val="22"/>
                              </w:rPr>
                              <w:t>(Rúbrica)</w:t>
                            </w:r>
                          </w:p>
                          <w:p w:rsidR="00147AC6" w:rsidRDefault="00147AC6"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B13379"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rsidR="00147AC6" w:rsidRPr="00142BC8" w:rsidRDefault="00147AC6" w:rsidP="00806E45">
                      <w:pPr>
                        <w:jc w:val="center"/>
                        <w:rPr>
                          <w:rFonts w:ascii="Palatino Linotype" w:hAnsi="Palatino Linotype" w:cs="Tahoma"/>
                          <w:b/>
                          <w:sz w:val="22"/>
                          <w:szCs w:val="22"/>
                        </w:rPr>
                      </w:pPr>
                      <w:r w:rsidRPr="00142BC8">
                        <w:rPr>
                          <w:rFonts w:ascii="Palatino Linotype" w:hAnsi="Palatino Linotype" w:cs="Tahoma"/>
                          <w:b/>
                          <w:sz w:val="22"/>
                          <w:szCs w:val="22"/>
                        </w:rPr>
                        <w:t>Eva Abaid Yapur</w:t>
                      </w:r>
                    </w:p>
                    <w:p w:rsidR="00147AC6" w:rsidRPr="00142BC8" w:rsidRDefault="00147AC6" w:rsidP="00806E45">
                      <w:pPr>
                        <w:jc w:val="center"/>
                        <w:rPr>
                          <w:rFonts w:ascii="Palatino Linotype" w:hAnsi="Palatino Linotype" w:cs="Tahoma"/>
                          <w:sz w:val="22"/>
                          <w:szCs w:val="22"/>
                        </w:rPr>
                      </w:pPr>
                      <w:r w:rsidRPr="00142BC8">
                        <w:rPr>
                          <w:rFonts w:ascii="Palatino Linotype" w:hAnsi="Palatino Linotype" w:cs="Tahoma"/>
                          <w:sz w:val="22"/>
                          <w:szCs w:val="22"/>
                        </w:rPr>
                        <w:t>Comisionada</w:t>
                      </w:r>
                    </w:p>
                    <w:p w:rsidR="00147AC6" w:rsidRPr="00142BC8" w:rsidRDefault="00147AC6" w:rsidP="00806E45">
                      <w:pPr>
                        <w:jc w:val="center"/>
                        <w:rPr>
                          <w:rFonts w:ascii="Palatino Linotype" w:hAnsi="Palatino Linotype"/>
                          <w:b/>
                          <w:sz w:val="22"/>
                          <w:szCs w:val="22"/>
                        </w:rPr>
                      </w:pPr>
                      <w:r w:rsidRPr="00142BC8">
                        <w:rPr>
                          <w:rFonts w:ascii="Palatino Linotype" w:hAnsi="Palatino Linotype"/>
                          <w:b/>
                          <w:sz w:val="22"/>
                          <w:szCs w:val="22"/>
                        </w:rPr>
                        <w:t>(Rúbrica)</w:t>
                      </w:r>
                    </w:p>
                    <w:p w:rsidR="00147AC6" w:rsidRDefault="00147AC6" w:rsidP="00806E45">
                      <w:pPr>
                        <w:jc w:val="center"/>
                      </w:pPr>
                    </w:p>
                  </w:txbxContent>
                </v:textbox>
                <w10:wrap anchorx="margin"/>
              </v:shape>
            </w:pict>
          </mc:Fallback>
        </mc:AlternateContent>
      </w: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Default="00806E45" w:rsidP="00806E45">
      <w:pPr>
        <w:spacing w:line="360" w:lineRule="auto"/>
        <w:ind w:right="-93"/>
        <w:jc w:val="both"/>
        <w:rPr>
          <w:rFonts w:ascii="Palatino Linotype" w:eastAsia="Calibri" w:hAnsi="Palatino Linotype" w:cs="Tahoma"/>
          <w:b/>
          <w:bCs/>
          <w:sz w:val="22"/>
          <w:szCs w:val="22"/>
          <w:lang w:eastAsia="en-US"/>
        </w:rPr>
      </w:pPr>
    </w:p>
    <w:p w:rsidR="00694021" w:rsidRPr="00EF6C74" w:rsidRDefault="00694021"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142BC8" w:rsidRDefault="00142BC8" w:rsidP="00806E45">
      <w:pPr>
        <w:spacing w:line="360" w:lineRule="auto"/>
        <w:ind w:right="-93"/>
        <w:jc w:val="both"/>
        <w:rPr>
          <w:rFonts w:ascii="Palatino Linotype" w:eastAsia="Calibri" w:hAnsi="Palatino Linotype" w:cs="Tahoma"/>
          <w:b/>
          <w:bCs/>
          <w:sz w:val="22"/>
          <w:szCs w:val="22"/>
          <w:lang w:eastAsia="en-US"/>
        </w:rPr>
      </w:pPr>
    </w:p>
    <w:p w:rsidR="00142BC8" w:rsidRPr="00EF6C74" w:rsidRDefault="00142BC8"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2A17C7" w:rsidP="00806E45">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706BCC56" wp14:editId="728AF26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47AC6" w:rsidRPr="00142BC8" w:rsidRDefault="00147AC6" w:rsidP="00806E45">
                            <w:pPr>
                              <w:jc w:val="center"/>
                              <w:rPr>
                                <w:rFonts w:ascii="Palatino Linotype" w:hAnsi="Palatino Linotype" w:cs="Tahoma"/>
                                <w:b/>
                                <w:sz w:val="22"/>
                                <w:szCs w:val="24"/>
                              </w:rPr>
                            </w:pPr>
                            <w:r w:rsidRPr="00142BC8">
                              <w:rPr>
                                <w:rFonts w:ascii="Palatino Linotype" w:hAnsi="Palatino Linotype" w:cs="Tahoma"/>
                                <w:b/>
                                <w:sz w:val="22"/>
                              </w:rPr>
                              <w:t>Luis Gustavo Parra Noriega</w:t>
                            </w:r>
                          </w:p>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147AC6" w:rsidRPr="00142BC8" w:rsidRDefault="00147AC6" w:rsidP="00806E45">
                            <w:pPr>
                              <w:jc w:val="center"/>
                              <w:rPr>
                                <w:rFonts w:ascii="Palatino Linotype" w:hAnsi="Palatino Linotype"/>
                                <w:b/>
                                <w:sz w:val="18"/>
                              </w:rPr>
                            </w:pPr>
                            <w:r w:rsidRPr="00142BC8">
                              <w:rPr>
                                <w:rFonts w:ascii="Palatino Linotype" w:hAnsi="Palatino Linotype"/>
                                <w:b/>
                                <w:sz w:val="22"/>
                                <w:szCs w:val="24"/>
                              </w:rPr>
                              <w:t>(Rúbrica)</w:t>
                            </w:r>
                          </w:p>
                          <w:p w:rsidR="00147AC6" w:rsidRDefault="00147A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BCC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147AC6" w:rsidRPr="00142BC8" w:rsidRDefault="00147AC6" w:rsidP="00806E45">
                      <w:pPr>
                        <w:jc w:val="center"/>
                        <w:rPr>
                          <w:rFonts w:ascii="Palatino Linotype" w:hAnsi="Palatino Linotype" w:cs="Tahoma"/>
                          <w:b/>
                          <w:sz w:val="22"/>
                          <w:szCs w:val="24"/>
                        </w:rPr>
                      </w:pPr>
                      <w:r w:rsidRPr="00142BC8">
                        <w:rPr>
                          <w:rFonts w:ascii="Palatino Linotype" w:hAnsi="Palatino Linotype" w:cs="Tahoma"/>
                          <w:b/>
                          <w:sz w:val="22"/>
                        </w:rPr>
                        <w:t>Luis Gustavo Parra Noriega</w:t>
                      </w:r>
                    </w:p>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147AC6" w:rsidRPr="00142BC8" w:rsidRDefault="00147AC6" w:rsidP="00806E45">
                      <w:pPr>
                        <w:jc w:val="center"/>
                        <w:rPr>
                          <w:rFonts w:ascii="Palatino Linotype" w:hAnsi="Palatino Linotype"/>
                          <w:b/>
                          <w:sz w:val="18"/>
                        </w:rPr>
                      </w:pPr>
                      <w:r w:rsidRPr="00142BC8">
                        <w:rPr>
                          <w:rFonts w:ascii="Palatino Linotype" w:hAnsi="Palatino Linotype"/>
                          <w:b/>
                          <w:sz w:val="22"/>
                          <w:szCs w:val="24"/>
                        </w:rPr>
                        <w:t>(Rúbrica)</w:t>
                      </w:r>
                    </w:p>
                    <w:p w:rsidR="00147AC6" w:rsidRDefault="00147AC6"/>
                  </w:txbxContent>
                </v:textbox>
                <w10:wrap anchorx="margin"/>
              </v:shape>
            </w:pict>
          </mc:Fallback>
        </mc:AlternateContent>
      </w: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b/>
                                <w:sz w:val="22"/>
                                <w:szCs w:val="24"/>
                              </w:rPr>
                              <w:t>Javier Martínez Cruz</w:t>
                            </w:r>
                          </w:p>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147AC6" w:rsidRPr="00142BC8" w:rsidRDefault="00147AC6" w:rsidP="00806E45">
                            <w:pPr>
                              <w:jc w:val="center"/>
                              <w:rPr>
                                <w:rFonts w:ascii="Palatino Linotype" w:hAnsi="Palatino Linotype"/>
                                <w:b/>
                                <w:sz w:val="18"/>
                              </w:rPr>
                            </w:pPr>
                            <w:r w:rsidRPr="00142BC8">
                              <w:rPr>
                                <w:rFonts w:ascii="Palatino Linotype" w:hAnsi="Palatino Linotype"/>
                                <w:b/>
                                <w:sz w:val="22"/>
                                <w:szCs w:val="24"/>
                              </w:rPr>
                              <w:t>(Rúbrica)</w:t>
                            </w:r>
                          </w:p>
                          <w:p w:rsidR="00147AC6" w:rsidRDefault="00147A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b/>
                          <w:sz w:val="22"/>
                          <w:szCs w:val="24"/>
                        </w:rPr>
                        <w:t>Javier Martínez Cruz</w:t>
                      </w:r>
                    </w:p>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147AC6" w:rsidRPr="00142BC8" w:rsidRDefault="00147AC6" w:rsidP="00806E45">
                      <w:pPr>
                        <w:jc w:val="center"/>
                        <w:rPr>
                          <w:rFonts w:ascii="Palatino Linotype" w:hAnsi="Palatino Linotype"/>
                          <w:b/>
                          <w:sz w:val="18"/>
                        </w:rPr>
                      </w:pPr>
                      <w:r w:rsidRPr="00142BC8">
                        <w:rPr>
                          <w:rFonts w:ascii="Palatino Linotype" w:hAnsi="Palatino Linotype"/>
                          <w:b/>
                          <w:sz w:val="22"/>
                          <w:szCs w:val="24"/>
                        </w:rPr>
                        <w:t>(Rúbrica)</w:t>
                      </w:r>
                    </w:p>
                    <w:p w:rsidR="00147AC6" w:rsidRDefault="00147AC6"/>
                  </w:txbxContent>
                </v:textbox>
                <w10:wrap anchorx="margin"/>
              </v:shape>
            </w:pict>
          </mc:Fallback>
        </mc:AlternateContent>
      </w: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p>
    <w:p w:rsidR="001A1AAB" w:rsidRDefault="001A1AAB" w:rsidP="00806E45">
      <w:pPr>
        <w:spacing w:line="360" w:lineRule="auto"/>
        <w:ind w:right="-93"/>
        <w:jc w:val="both"/>
        <w:rPr>
          <w:rFonts w:ascii="Palatino Linotype" w:eastAsia="Calibri" w:hAnsi="Palatino Linotype" w:cs="Tahoma"/>
          <w:bCs/>
          <w:sz w:val="22"/>
          <w:szCs w:val="22"/>
          <w:lang w:eastAsia="en-US"/>
        </w:rPr>
      </w:pPr>
    </w:p>
    <w:p w:rsidR="00705B73" w:rsidRDefault="00705B73" w:rsidP="00806E45">
      <w:pPr>
        <w:spacing w:line="360" w:lineRule="auto"/>
        <w:ind w:right="-93"/>
        <w:jc w:val="both"/>
        <w:rPr>
          <w:rFonts w:ascii="Palatino Linotype" w:eastAsia="Calibri" w:hAnsi="Palatino Linotype" w:cs="Tahoma"/>
          <w:bCs/>
          <w:sz w:val="22"/>
          <w:szCs w:val="22"/>
          <w:lang w:eastAsia="en-US"/>
        </w:rPr>
      </w:pPr>
    </w:p>
    <w:p w:rsidR="00705B73" w:rsidRDefault="00705B73" w:rsidP="00806E45">
      <w:pPr>
        <w:spacing w:line="360" w:lineRule="auto"/>
        <w:ind w:right="-93"/>
        <w:jc w:val="both"/>
        <w:rPr>
          <w:rFonts w:ascii="Palatino Linotype" w:eastAsia="Calibri" w:hAnsi="Palatino Linotype" w:cs="Tahoma"/>
          <w:bCs/>
          <w:sz w:val="22"/>
          <w:szCs w:val="22"/>
          <w:lang w:eastAsia="en-US"/>
        </w:rPr>
      </w:pPr>
    </w:p>
    <w:p w:rsidR="00694021" w:rsidRPr="00EF6C74" w:rsidRDefault="00694021" w:rsidP="00806E45">
      <w:pPr>
        <w:spacing w:line="360" w:lineRule="auto"/>
        <w:ind w:right="-93"/>
        <w:jc w:val="both"/>
        <w:rPr>
          <w:rFonts w:ascii="Palatino Linotype" w:eastAsia="Calibri" w:hAnsi="Palatino Linotype" w:cs="Tahoma"/>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47AC6" w:rsidRPr="00142BC8" w:rsidRDefault="00147AC6" w:rsidP="00806E45">
                            <w:pPr>
                              <w:jc w:val="center"/>
                              <w:rPr>
                                <w:rFonts w:ascii="Palatino Linotype" w:hAnsi="Palatino Linotype" w:cs="Tahoma"/>
                                <w:b/>
                                <w:sz w:val="22"/>
                                <w:szCs w:val="24"/>
                              </w:rPr>
                            </w:pPr>
                            <w:r w:rsidRPr="00142BC8">
                              <w:rPr>
                                <w:rFonts w:ascii="Palatino Linotype" w:hAnsi="Palatino Linotype" w:cs="Tahoma"/>
                                <w:b/>
                                <w:sz w:val="22"/>
                                <w:szCs w:val="24"/>
                              </w:rPr>
                              <w:t>Alexis Tapia Ramírez</w:t>
                            </w:r>
                          </w:p>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sz w:val="22"/>
                                <w:szCs w:val="24"/>
                              </w:rPr>
                              <w:t xml:space="preserve">Secretario Técnico del Pleno </w:t>
                            </w:r>
                          </w:p>
                          <w:p w:rsidR="00147AC6" w:rsidRPr="00142BC8" w:rsidRDefault="00147AC6" w:rsidP="00806E45">
                            <w:pPr>
                              <w:jc w:val="center"/>
                              <w:rPr>
                                <w:rFonts w:ascii="Palatino Linotype" w:hAnsi="Palatino Linotype"/>
                                <w:b/>
                                <w:sz w:val="22"/>
                                <w:szCs w:val="24"/>
                              </w:rPr>
                            </w:pPr>
                            <w:r w:rsidRPr="00142BC8">
                              <w:rPr>
                                <w:rFonts w:ascii="Palatino Linotype" w:hAnsi="Palatino Linotype"/>
                                <w:b/>
                                <w:sz w:val="22"/>
                                <w:szCs w:val="24"/>
                              </w:rPr>
                              <w:t>(Rúbrica)</w:t>
                            </w:r>
                          </w:p>
                          <w:p w:rsidR="00147AC6" w:rsidRDefault="00147AC6" w:rsidP="00806E45">
                            <w:pPr>
                              <w:jc w:val="center"/>
                              <w:rPr>
                                <w:rFonts w:ascii="Palatino Linotype" w:hAnsi="Palatino Linotype"/>
                                <w:sz w:val="24"/>
                                <w:szCs w:val="24"/>
                              </w:rPr>
                            </w:pPr>
                          </w:p>
                          <w:p w:rsidR="00147AC6" w:rsidRPr="00EF2FC0" w:rsidRDefault="00147AC6" w:rsidP="00806E45">
                            <w:pPr>
                              <w:jc w:val="center"/>
                              <w:rPr>
                                <w:rFonts w:ascii="Palatino Linotype" w:hAnsi="Palatino Linotype"/>
                                <w:sz w:val="24"/>
                                <w:szCs w:val="24"/>
                              </w:rPr>
                            </w:pPr>
                          </w:p>
                          <w:p w:rsidR="00147AC6" w:rsidRDefault="00147AC6"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147AC6" w:rsidRPr="00142BC8" w:rsidRDefault="00147AC6" w:rsidP="00806E45">
                      <w:pPr>
                        <w:jc w:val="center"/>
                        <w:rPr>
                          <w:rFonts w:ascii="Palatino Linotype" w:hAnsi="Palatino Linotype" w:cs="Tahoma"/>
                          <w:b/>
                          <w:sz w:val="22"/>
                          <w:szCs w:val="24"/>
                        </w:rPr>
                      </w:pPr>
                      <w:r w:rsidRPr="00142BC8">
                        <w:rPr>
                          <w:rFonts w:ascii="Palatino Linotype" w:hAnsi="Palatino Linotype" w:cs="Tahoma"/>
                          <w:b/>
                          <w:sz w:val="22"/>
                          <w:szCs w:val="24"/>
                        </w:rPr>
                        <w:t>Alexis Tapia Ramírez</w:t>
                      </w:r>
                    </w:p>
                    <w:p w:rsidR="00147AC6" w:rsidRPr="00142BC8" w:rsidRDefault="00147AC6" w:rsidP="00806E45">
                      <w:pPr>
                        <w:jc w:val="center"/>
                        <w:rPr>
                          <w:rFonts w:ascii="Palatino Linotype" w:hAnsi="Palatino Linotype" w:cs="Tahoma"/>
                          <w:sz w:val="22"/>
                          <w:szCs w:val="24"/>
                        </w:rPr>
                      </w:pPr>
                      <w:r w:rsidRPr="00142BC8">
                        <w:rPr>
                          <w:rFonts w:ascii="Palatino Linotype" w:hAnsi="Palatino Linotype" w:cs="Tahoma"/>
                          <w:sz w:val="22"/>
                          <w:szCs w:val="24"/>
                        </w:rPr>
                        <w:t xml:space="preserve">Secretario Técnico del Pleno </w:t>
                      </w:r>
                    </w:p>
                    <w:p w:rsidR="00147AC6" w:rsidRPr="00142BC8" w:rsidRDefault="00147AC6" w:rsidP="00806E45">
                      <w:pPr>
                        <w:jc w:val="center"/>
                        <w:rPr>
                          <w:rFonts w:ascii="Palatino Linotype" w:hAnsi="Palatino Linotype"/>
                          <w:b/>
                          <w:sz w:val="22"/>
                          <w:szCs w:val="24"/>
                        </w:rPr>
                      </w:pPr>
                      <w:r w:rsidRPr="00142BC8">
                        <w:rPr>
                          <w:rFonts w:ascii="Palatino Linotype" w:hAnsi="Palatino Linotype"/>
                          <w:b/>
                          <w:sz w:val="22"/>
                          <w:szCs w:val="24"/>
                        </w:rPr>
                        <w:t>(Rúbrica)</w:t>
                      </w:r>
                    </w:p>
                    <w:p w:rsidR="00147AC6" w:rsidRDefault="00147AC6" w:rsidP="00806E45">
                      <w:pPr>
                        <w:jc w:val="center"/>
                        <w:rPr>
                          <w:rFonts w:ascii="Palatino Linotype" w:hAnsi="Palatino Linotype"/>
                          <w:sz w:val="24"/>
                          <w:szCs w:val="24"/>
                        </w:rPr>
                      </w:pPr>
                    </w:p>
                    <w:p w:rsidR="00147AC6" w:rsidRPr="00EF2FC0" w:rsidRDefault="00147AC6" w:rsidP="00806E45">
                      <w:pPr>
                        <w:jc w:val="center"/>
                        <w:rPr>
                          <w:rFonts w:ascii="Palatino Linotype" w:hAnsi="Palatino Linotype"/>
                          <w:sz w:val="24"/>
                          <w:szCs w:val="24"/>
                        </w:rPr>
                      </w:pPr>
                    </w:p>
                    <w:p w:rsidR="00147AC6" w:rsidRDefault="00147AC6" w:rsidP="00806E45"/>
                  </w:txbxContent>
                </v:textbox>
                <w10:wrap anchorx="page"/>
              </v:shape>
            </w:pict>
          </mc:Fallback>
        </mc:AlternateContent>
      </w: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p>
    <w:p w:rsidR="00F4018F" w:rsidRPr="00EF6C74" w:rsidRDefault="000813B0" w:rsidP="00D9652C">
      <w:pPr>
        <w:tabs>
          <w:tab w:val="left" w:pos="8931"/>
        </w:tabs>
        <w:spacing w:line="360" w:lineRule="auto"/>
        <w:jc w:val="both"/>
        <w:rPr>
          <w:rFonts w:ascii="Palatino Linotype" w:eastAsia="Calibri" w:hAnsi="Palatino Linotype" w:cs="Arial"/>
          <w:sz w:val="22"/>
          <w:szCs w:val="22"/>
          <w:lang w:eastAsia="en-US"/>
        </w:rPr>
      </w:pPr>
      <w:r w:rsidRPr="00EF6C74">
        <w:rPr>
          <w:rFonts w:ascii="Palatino Linotype" w:eastAsia="Calibri" w:hAnsi="Palatino Linotype" w:cs="Arial"/>
          <w:sz w:val="22"/>
          <w:szCs w:val="22"/>
          <w:lang w:eastAsia="en-US"/>
        </w:rPr>
        <w:t>Esta foja corresponde a la resolución de</w:t>
      </w:r>
      <w:r w:rsidR="00F4018F" w:rsidRPr="00EF6C74">
        <w:rPr>
          <w:rFonts w:ascii="Palatino Linotype" w:eastAsia="Calibri" w:hAnsi="Palatino Linotype" w:cs="Arial"/>
          <w:sz w:val="22"/>
          <w:szCs w:val="22"/>
          <w:lang w:eastAsia="en-US"/>
        </w:rPr>
        <w:t xml:space="preserve"> fecha </w:t>
      </w:r>
      <w:r w:rsidR="00045E8C">
        <w:rPr>
          <w:rFonts w:ascii="Palatino Linotype" w:eastAsia="Calibri" w:hAnsi="Palatino Linotype" w:cs="Arial"/>
          <w:sz w:val="22"/>
          <w:szCs w:val="22"/>
          <w:lang w:eastAsia="en-US"/>
        </w:rPr>
        <w:t xml:space="preserve">trece de febrero </w:t>
      </w:r>
      <w:r w:rsidR="00EF6C74">
        <w:rPr>
          <w:rFonts w:ascii="Palatino Linotype" w:eastAsia="Calibri" w:hAnsi="Palatino Linotype" w:cs="Arial"/>
          <w:sz w:val="22"/>
          <w:szCs w:val="22"/>
          <w:lang w:eastAsia="en-US"/>
        </w:rPr>
        <w:t>de dos mil diecinueve</w:t>
      </w:r>
      <w:r w:rsidR="00F4018F" w:rsidRPr="00EF6C74">
        <w:rPr>
          <w:rFonts w:ascii="Palatino Linotype" w:eastAsia="Calibri" w:hAnsi="Palatino Linotype" w:cs="Arial"/>
          <w:sz w:val="22"/>
          <w:szCs w:val="22"/>
          <w:lang w:eastAsia="en-US"/>
        </w:rPr>
        <w:t xml:space="preserve">, emitida en el recurso de revisión número </w:t>
      </w:r>
      <w:r w:rsidR="00045E8C">
        <w:rPr>
          <w:rFonts w:ascii="Palatino Linotype" w:eastAsia="Calibri" w:hAnsi="Palatino Linotype" w:cs="Arial"/>
          <w:b/>
          <w:bCs/>
          <w:sz w:val="22"/>
          <w:szCs w:val="22"/>
          <w:lang w:eastAsia="en-US"/>
        </w:rPr>
        <w:t>04591</w:t>
      </w:r>
      <w:r w:rsidR="00961771" w:rsidRPr="00705B73">
        <w:rPr>
          <w:rFonts w:ascii="Palatino Linotype" w:eastAsia="Calibri" w:hAnsi="Palatino Linotype" w:cs="Arial"/>
          <w:b/>
          <w:bCs/>
          <w:sz w:val="22"/>
          <w:szCs w:val="22"/>
          <w:lang w:eastAsia="en-US"/>
        </w:rPr>
        <w:t>/INFOEM/IP/RR/2018</w:t>
      </w:r>
      <w:r w:rsidR="00705B73">
        <w:rPr>
          <w:rFonts w:ascii="Palatino Linotype" w:eastAsia="Calibri" w:hAnsi="Palatino Linotype" w:cs="Arial"/>
          <w:b/>
          <w:bCs/>
          <w:sz w:val="22"/>
          <w:szCs w:val="22"/>
          <w:lang w:eastAsia="en-US"/>
        </w:rPr>
        <w:t>.</w:t>
      </w:r>
    </w:p>
    <w:sectPr w:rsidR="00F4018F" w:rsidRPr="00EF6C74" w:rsidSect="00F755E1">
      <w:headerReference w:type="default" r:id="rId17"/>
      <w:footerReference w:type="default" r:id="rId18"/>
      <w:headerReference w:type="first" r:id="rId19"/>
      <w:footerReference w:type="first" r:id="rId20"/>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F9" w:rsidRDefault="00084EF9" w:rsidP="00B31222">
      <w:r>
        <w:separator/>
      </w:r>
    </w:p>
  </w:endnote>
  <w:endnote w:type="continuationSeparator" w:id="0">
    <w:p w:rsidR="00084EF9" w:rsidRDefault="00084EF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147AC6" w:rsidRDefault="00147AC6">
            <w:pPr>
              <w:pStyle w:val="Piedepgina"/>
              <w:jc w:val="right"/>
            </w:pPr>
          </w:p>
          <w:p w:rsidR="00647EEE" w:rsidRDefault="00647EEE">
            <w:pPr>
              <w:pStyle w:val="Piedepgina"/>
              <w:jc w:val="right"/>
            </w:pPr>
          </w:p>
          <w:p w:rsidR="00147AC6" w:rsidRDefault="00147AC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757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757B">
              <w:rPr>
                <w:b/>
                <w:bCs/>
                <w:noProof/>
              </w:rPr>
              <w:t>27</w:t>
            </w:r>
            <w:r>
              <w:rPr>
                <w:b/>
                <w:bCs/>
                <w:sz w:val="24"/>
                <w:szCs w:val="24"/>
              </w:rPr>
              <w:fldChar w:fldCharType="end"/>
            </w:r>
          </w:p>
        </w:sdtContent>
      </w:sdt>
    </w:sdtContent>
  </w:sdt>
  <w:p w:rsidR="00147AC6" w:rsidRDefault="00147A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147AC6" w:rsidRDefault="00147AC6">
            <w:pPr>
              <w:pStyle w:val="Piedepgina"/>
              <w:jc w:val="right"/>
            </w:pPr>
          </w:p>
          <w:p w:rsidR="00147AC6" w:rsidRDefault="00147AC6">
            <w:pPr>
              <w:pStyle w:val="Piedepgina"/>
              <w:jc w:val="right"/>
            </w:pPr>
          </w:p>
          <w:p w:rsidR="00147AC6" w:rsidRDefault="00147AC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757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757B">
              <w:rPr>
                <w:b/>
                <w:bCs/>
                <w:noProof/>
              </w:rPr>
              <w:t>27</w:t>
            </w:r>
            <w:r>
              <w:rPr>
                <w:b/>
                <w:bCs/>
                <w:sz w:val="24"/>
                <w:szCs w:val="24"/>
              </w:rPr>
              <w:fldChar w:fldCharType="end"/>
            </w:r>
          </w:p>
        </w:sdtContent>
      </w:sdt>
    </w:sdtContent>
  </w:sdt>
  <w:p w:rsidR="00147AC6" w:rsidRDefault="00147A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F9" w:rsidRDefault="00084EF9" w:rsidP="00B31222">
      <w:r>
        <w:separator/>
      </w:r>
    </w:p>
  </w:footnote>
  <w:footnote w:type="continuationSeparator" w:id="0">
    <w:p w:rsidR="00084EF9" w:rsidRDefault="00084EF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C6" w:rsidRDefault="00147AC6"/>
  <w:tbl>
    <w:tblPr>
      <w:tblStyle w:val="Tablaconcuadrcula"/>
      <w:tblpPr w:leftFromText="141" w:rightFromText="141" w:vertAnchor="page" w:horzAnchor="page" w:tblpX="4637" w:tblpY="556"/>
      <w:tblW w:w="6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686"/>
    </w:tblGrid>
    <w:tr w:rsidR="00147AC6" w:rsidRPr="00054E79" w:rsidTr="00C9316C">
      <w:trPr>
        <w:trHeight w:val="144"/>
      </w:trPr>
      <w:tc>
        <w:tcPr>
          <w:tcW w:w="2552" w:type="dxa"/>
          <w:vAlign w:val="center"/>
        </w:tcPr>
        <w:p w:rsidR="00147AC6" w:rsidRDefault="00147AC6" w:rsidP="00C9316C">
          <w:pPr>
            <w:tabs>
              <w:tab w:val="right" w:pos="8838"/>
            </w:tabs>
            <w:ind w:right="-105"/>
            <w:rPr>
              <w:rFonts w:ascii="Palatino Linotype" w:eastAsia="Calibri" w:hAnsi="Palatino Linotype" w:cs="Tahoma"/>
              <w:b/>
              <w:sz w:val="22"/>
              <w:szCs w:val="22"/>
              <w:lang w:val="es-MX" w:eastAsia="en-US"/>
            </w:rPr>
          </w:pPr>
        </w:p>
        <w:p w:rsidR="00147AC6" w:rsidRPr="00054E79" w:rsidRDefault="00147AC6" w:rsidP="00C9316C">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Recurso de Revisión:</w:t>
          </w:r>
        </w:p>
      </w:tc>
      <w:tc>
        <w:tcPr>
          <w:tcW w:w="3686" w:type="dxa"/>
          <w:vAlign w:val="center"/>
        </w:tcPr>
        <w:p w:rsidR="00147AC6" w:rsidRDefault="00147AC6" w:rsidP="00C9316C">
          <w:pPr>
            <w:tabs>
              <w:tab w:val="right" w:pos="8838"/>
            </w:tabs>
            <w:jc w:val="both"/>
            <w:rPr>
              <w:rFonts w:ascii="Palatino Linotype" w:eastAsia="Calibri" w:hAnsi="Palatino Linotype" w:cs="Tahoma"/>
              <w:bCs/>
              <w:sz w:val="22"/>
              <w:szCs w:val="22"/>
              <w:lang w:eastAsia="en-US"/>
            </w:rPr>
          </w:pPr>
        </w:p>
        <w:p w:rsidR="00147AC6" w:rsidRPr="00054E79" w:rsidRDefault="00147AC6" w:rsidP="00C9316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04591</w:t>
          </w:r>
          <w:r w:rsidRPr="00054E79">
            <w:rPr>
              <w:rFonts w:ascii="Palatino Linotype" w:eastAsia="Calibri" w:hAnsi="Palatino Linotype" w:cs="Tahoma"/>
              <w:bCs/>
              <w:sz w:val="22"/>
              <w:szCs w:val="22"/>
              <w:lang w:eastAsia="en-US"/>
            </w:rPr>
            <w:t>/INFOEM/IP/RR/2018</w:t>
          </w:r>
        </w:p>
      </w:tc>
    </w:tr>
    <w:tr w:rsidR="00147AC6" w:rsidRPr="00054E79" w:rsidTr="00C9316C">
      <w:trPr>
        <w:trHeight w:val="283"/>
      </w:trPr>
      <w:tc>
        <w:tcPr>
          <w:tcW w:w="2552" w:type="dxa"/>
          <w:vAlign w:val="center"/>
        </w:tcPr>
        <w:p w:rsidR="00147AC6" w:rsidRPr="00054E79" w:rsidRDefault="00147AC6" w:rsidP="00C9316C">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Sujeto Obligado:</w:t>
          </w:r>
        </w:p>
      </w:tc>
      <w:tc>
        <w:tcPr>
          <w:tcW w:w="3686" w:type="dxa"/>
          <w:vAlign w:val="center"/>
        </w:tcPr>
        <w:p w:rsidR="00147AC6" w:rsidRPr="00054E79" w:rsidRDefault="00147AC6" w:rsidP="00C9316C">
          <w:pPr>
            <w:tabs>
              <w:tab w:val="left" w:pos="2834"/>
              <w:tab w:val="right" w:pos="8838"/>
            </w:tabs>
            <w:ind w:right="171"/>
            <w:jc w:val="both"/>
            <w:rPr>
              <w:rFonts w:ascii="Palatino Linotype" w:eastAsia="Calibri" w:hAnsi="Palatino Linotype" w:cs="Tahoma"/>
              <w:b/>
              <w:sz w:val="22"/>
              <w:szCs w:val="22"/>
              <w:lang w:val="es-MX" w:eastAsia="en-US"/>
            </w:rPr>
          </w:pPr>
          <w:r w:rsidRPr="009D1E41">
            <w:rPr>
              <w:rFonts w:ascii="Palatino Linotype" w:eastAsia="Calibri" w:hAnsi="Palatino Linotype" w:cs="Tahoma"/>
              <w:sz w:val="22"/>
              <w:szCs w:val="22"/>
              <w:lang w:val="es-MX" w:eastAsia="en-US"/>
            </w:rPr>
            <w:t>Instituto de Seguridad Social del Estado de México y Municipios</w:t>
          </w:r>
        </w:p>
      </w:tc>
    </w:tr>
    <w:tr w:rsidR="00147AC6" w:rsidRPr="00054E79" w:rsidTr="00C9316C">
      <w:trPr>
        <w:trHeight w:val="283"/>
      </w:trPr>
      <w:tc>
        <w:tcPr>
          <w:tcW w:w="2552" w:type="dxa"/>
          <w:vAlign w:val="center"/>
        </w:tcPr>
        <w:p w:rsidR="00147AC6" w:rsidRPr="00054E79" w:rsidRDefault="00147AC6" w:rsidP="00C9316C">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Comisionado Ponente:</w:t>
          </w:r>
        </w:p>
      </w:tc>
      <w:tc>
        <w:tcPr>
          <w:tcW w:w="3686" w:type="dxa"/>
          <w:vAlign w:val="center"/>
        </w:tcPr>
        <w:p w:rsidR="00147AC6" w:rsidRPr="00054E79" w:rsidRDefault="00147AC6" w:rsidP="00C9316C">
          <w:pPr>
            <w:tabs>
              <w:tab w:val="right" w:pos="8838"/>
            </w:tabs>
            <w:ind w:right="171"/>
            <w:jc w:val="both"/>
            <w:rPr>
              <w:rFonts w:ascii="Palatino Linotype" w:eastAsia="Calibri" w:hAnsi="Palatino Linotype" w:cs="Tahoma"/>
              <w:b/>
              <w:sz w:val="22"/>
              <w:szCs w:val="22"/>
              <w:lang w:val="es-MX" w:eastAsia="en-US"/>
            </w:rPr>
          </w:pPr>
          <w:r w:rsidRPr="00054E79">
            <w:rPr>
              <w:rFonts w:ascii="Palatino Linotype" w:eastAsia="Calibri" w:hAnsi="Palatino Linotype" w:cs="Tahoma"/>
              <w:sz w:val="22"/>
              <w:szCs w:val="22"/>
              <w:lang w:val="es-MX" w:eastAsia="en-US"/>
            </w:rPr>
            <w:t>Luis Gustavo Parra Noriega</w:t>
          </w:r>
        </w:p>
      </w:tc>
    </w:tr>
  </w:tbl>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Default="00147AC6" w:rsidP="00EF4A64">
    <w:pPr>
      <w:pStyle w:val="Encabezado"/>
      <w:rPr>
        <w:sz w:val="14"/>
      </w:rPr>
    </w:pPr>
  </w:p>
  <w:p w:rsidR="00147AC6" w:rsidRPr="00443C6B" w:rsidRDefault="00147AC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47AC6" w:rsidRPr="005C106F" w:rsidTr="003B165A">
      <w:trPr>
        <w:trHeight w:val="1435"/>
      </w:trPr>
      <w:tc>
        <w:tcPr>
          <w:tcW w:w="2835" w:type="dxa"/>
          <w:shd w:val="clear" w:color="auto" w:fill="auto"/>
        </w:tcPr>
        <w:p w:rsidR="00147AC6" w:rsidRPr="005C106F" w:rsidRDefault="00147AC6" w:rsidP="00DB7E5F">
          <w:pPr>
            <w:tabs>
              <w:tab w:val="right" w:pos="4273"/>
            </w:tabs>
            <w:rPr>
              <w:rFonts w:ascii="Garamond" w:eastAsia="Calibri" w:hAnsi="Garamond"/>
              <w:sz w:val="16"/>
              <w:szCs w:val="16"/>
              <w:lang w:eastAsia="en-US"/>
            </w:rPr>
          </w:pPr>
        </w:p>
      </w:tc>
      <w:tc>
        <w:tcPr>
          <w:tcW w:w="6733" w:type="dxa"/>
          <w:shd w:val="clear" w:color="auto" w:fill="auto"/>
        </w:tcPr>
        <w:p w:rsidR="00147AC6" w:rsidRDefault="00147AC6" w:rsidP="00DB7E5F">
          <w:pPr>
            <w:tabs>
              <w:tab w:val="right" w:pos="8838"/>
            </w:tabs>
            <w:ind w:left="-28"/>
            <w:jc w:val="both"/>
            <w:rPr>
              <w:rFonts w:ascii="Arial" w:eastAsia="Calibri" w:hAnsi="Arial" w:cs="Arial"/>
              <w:b/>
              <w:sz w:val="22"/>
              <w:szCs w:val="22"/>
              <w:lang w:eastAsia="en-US"/>
            </w:rPr>
          </w:pPr>
        </w:p>
        <w:p w:rsidR="00147AC6" w:rsidRPr="00C9316C" w:rsidRDefault="00147AC6" w:rsidP="00C9316C">
          <w:pPr>
            <w:rPr>
              <w:rFonts w:ascii="Arial" w:eastAsia="Calibri" w:hAnsi="Arial" w:cs="Arial"/>
              <w:sz w:val="22"/>
              <w:szCs w:val="22"/>
              <w:lang w:eastAsia="en-US"/>
            </w:rPr>
          </w:pPr>
        </w:p>
        <w:p w:rsidR="00147AC6" w:rsidRDefault="00147AC6" w:rsidP="00C9316C">
          <w:pPr>
            <w:rPr>
              <w:rFonts w:ascii="Arial" w:eastAsia="Calibri" w:hAnsi="Arial" w:cs="Arial"/>
              <w:sz w:val="22"/>
              <w:szCs w:val="22"/>
              <w:lang w:eastAsia="en-US"/>
            </w:rPr>
          </w:pPr>
        </w:p>
        <w:p w:rsidR="00147AC6" w:rsidRPr="00C9316C" w:rsidRDefault="00147AC6" w:rsidP="00C9316C">
          <w:pPr>
            <w:tabs>
              <w:tab w:val="left" w:pos="1665"/>
            </w:tabs>
            <w:rPr>
              <w:rFonts w:ascii="Arial" w:eastAsia="Calibri" w:hAnsi="Arial" w:cs="Arial"/>
              <w:sz w:val="22"/>
              <w:szCs w:val="22"/>
              <w:lang w:eastAsia="en-US"/>
            </w:rPr>
          </w:pPr>
          <w:r>
            <w:rPr>
              <w:rFonts w:ascii="Arial" w:eastAsia="Calibri" w:hAnsi="Arial" w:cs="Arial"/>
              <w:sz w:val="22"/>
              <w:szCs w:val="22"/>
              <w:lang w:eastAsia="en-US"/>
            </w:rPr>
            <w:tab/>
          </w:r>
        </w:p>
      </w:tc>
    </w:tr>
  </w:tbl>
  <w:p w:rsidR="00147AC6" w:rsidRDefault="00147AC6" w:rsidP="00B727C5">
    <w:pPr>
      <w:pStyle w:val="Encabezado"/>
    </w:pPr>
  </w:p>
  <w:p w:rsidR="00147AC6" w:rsidRDefault="00147AC6" w:rsidP="00B727C5">
    <w:pPr>
      <w:pStyle w:val="Encabezado"/>
    </w:pPr>
  </w:p>
  <w:p w:rsidR="00147AC6" w:rsidRDefault="00147AC6"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408E9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6D69C1"/>
    <w:multiLevelType w:val="hybridMultilevel"/>
    <w:tmpl w:val="3C562C36"/>
    <w:lvl w:ilvl="0" w:tplc="D39EFB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D9982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C9727E"/>
    <w:multiLevelType w:val="hybridMultilevel"/>
    <w:tmpl w:val="B438350A"/>
    <w:lvl w:ilvl="0" w:tplc="8EF832C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CB70056"/>
    <w:multiLevelType w:val="hybridMultilevel"/>
    <w:tmpl w:val="10A0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8E3DAF"/>
    <w:multiLevelType w:val="hybridMultilevel"/>
    <w:tmpl w:val="3A203A1E"/>
    <w:lvl w:ilvl="0" w:tplc="26501F9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7AE22E7"/>
    <w:multiLevelType w:val="hybridMultilevel"/>
    <w:tmpl w:val="F3943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276682"/>
    <w:multiLevelType w:val="hybridMultilevel"/>
    <w:tmpl w:val="3A203A1E"/>
    <w:lvl w:ilvl="0" w:tplc="26501F9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3D519F"/>
    <w:multiLevelType w:val="hybridMultilevel"/>
    <w:tmpl w:val="DB503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2B4C9F"/>
    <w:multiLevelType w:val="hybridMultilevel"/>
    <w:tmpl w:val="4FBC3F6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41773516"/>
    <w:multiLevelType w:val="hybridMultilevel"/>
    <w:tmpl w:val="F3943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45F878D9"/>
    <w:multiLevelType w:val="hybridMultilevel"/>
    <w:tmpl w:val="DFF43AA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DEB681B"/>
    <w:multiLevelType w:val="hybridMultilevel"/>
    <w:tmpl w:val="36EC4E6A"/>
    <w:lvl w:ilvl="0" w:tplc="CFD25F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92C86"/>
    <w:multiLevelType w:val="hybridMultilevel"/>
    <w:tmpl w:val="61EC0C8C"/>
    <w:lvl w:ilvl="0" w:tplc="CFD25FA4">
      <w:start w:val="1"/>
      <w:numFmt w:val="decimal"/>
      <w:lvlText w:val="%1."/>
      <w:lvlJc w:val="left"/>
      <w:pPr>
        <w:ind w:left="720" w:hanging="360"/>
      </w:pPr>
      <w:rPr>
        <w:rFonts w:hint="default"/>
        <w:b/>
      </w:rPr>
    </w:lvl>
    <w:lvl w:ilvl="1" w:tplc="C0FE429C">
      <w:start w:val="1"/>
      <w:numFmt w:val="lowerLetter"/>
      <w:lvlText w:val="%2)"/>
      <w:lvlJc w:val="left"/>
      <w:pPr>
        <w:ind w:left="1785" w:hanging="705"/>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273FB7"/>
    <w:multiLevelType w:val="hybridMultilevel"/>
    <w:tmpl w:val="2F1A6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E11F2E"/>
    <w:multiLevelType w:val="multilevel"/>
    <w:tmpl w:val="C4CC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20116"/>
    <w:multiLevelType w:val="hybridMultilevel"/>
    <w:tmpl w:val="F3943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FE279A"/>
    <w:multiLevelType w:val="hybridMultilevel"/>
    <w:tmpl w:val="4FBC3F6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72492B54"/>
    <w:multiLevelType w:val="hybridMultilevel"/>
    <w:tmpl w:val="FC56083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15:restartNumberingAfterBreak="0">
    <w:nsid w:val="7B280A78"/>
    <w:multiLevelType w:val="hybridMultilevel"/>
    <w:tmpl w:val="7B8AC668"/>
    <w:lvl w:ilvl="0" w:tplc="B0DEA9E0">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0"/>
  </w:num>
  <w:num w:numId="2">
    <w:abstractNumId w:val="3"/>
  </w:num>
  <w:num w:numId="3">
    <w:abstractNumId w:val="10"/>
  </w:num>
  <w:num w:numId="4">
    <w:abstractNumId w:val="17"/>
  </w:num>
  <w:num w:numId="5">
    <w:abstractNumId w:val="16"/>
  </w:num>
  <w:num w:numId="6">
    <w:abstractNumId w:val="22"/>
  </w:num>
  <w:num w:numId="7">
    <w:abstractNumId w:val="15"/>
  </w:num>
  <w:num w:numId="8">
    <w:abstractNumId w:val="9"/>
  </w:num>
  <w:num w:numId="9">
    <w:abstractNumId w:val="23"/>
  </w:num>
  <w:num w:numId="10">
    <w:abstractNumId w:val="8"/>
  </w:num>
  <w:num w:numId="11">
    <w:abstractNumId w:val="2"/>
  </w:num>
  <w:num w:numId="12">
    <w:abstractNumId w:val="7"/>
  </w:num>
  <w:num w:numId="13">
    <w:abstractNumId w:val="13"/>
  </w:num>
  <w:num w:numId="14">
    <w:abstractNumId w:val="5"/>
  </w:num>
  <w:num w:numId="15">
    <w:abstractNumId w:val="20"/>
  </w:num>
  <w:num w:numId="16">
    <w:abstractNumId w:val="1"/>
  </w:num>
  <w:num w:numId="17">
    <w:abstractNumId w:val="6"/>
  </w:num>
  <w:num w:numId="18">
    <w:abstractNumId w:val="18"/>
  </w:num>
  <w:num w:numId="19">
    <w:abstractNumId w:val="11"/>
  </w:num>
  <w:num w:numId="20">
    <w:abstractNumId w:val="14"/>
  </w:num>
  <w:num w:numId="21">
    <w:abstractNumId w:val="12"/>
  </w:num>
  <w:num w:numId="22">
    <w:abstractNumId w:val="21"/>
  </w:num>
  <w:num w:numId="23">
    <w:abstractNumId w:val="4"/>
  </w:num>
  <w:num w:numId="24">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37B2"/>
    <w:rsid w:val="0000485A"/>
    <w:rsid w:val="00006543"/>
    <w:rsid w:val="00006CF6"/>
    <w:rsid w:val="00013A19"/>
    <w:rsid w:val="00014465"/>
    <w:rsid w:val="00014548"/>
    <w:rsid w:val="000212E5"/>
    <w:rsid w:val="00021C64"/>
    <w:rsid w:val="000241C5"/>
    <w:rsid w:val="00026C8E"/>
    <w:rsid w:val="000272E4"/>
    <w:rsid w:val="00030996"/>
    <w:rsid w:val="00030B0C"/>
    <w:rsid w:val="000313A7"/>
    <w:rsid w:val="000315CB"/>
    <w:rsid w:val="00032F5B"/>
    <w:rsid w:val="00033DD0"/>
    <w:rsid w:val="00034E9D"/>
    <w:rsid w:val="000373BC"/>
    <w:rsid w:val="00037B34"/>
    <w:rsid w:val="00037F4B"/>
    <w:rsid w:val="00043C4B"/>
    <w:rsid w:val="00045E8C"/>
    <w:rsid w:val="00046298"/>
    <w:rsid w:val="0004646B"/>
    <w:rsid w:val="00047D67"/>
    <w:rsid w:val="000528E6"/>
    <w:rsid w:val="00053665"/>
    <w:rsid w:val="00054E79"/>
    <w:rsid w:val="00057467"/>
    <w:rsid w:val="0006017B"/>
    <w:rsid w:val="00061FE1"/>
    <w:rsid w:val="000665C9"/>
    <w:rsid w:val="0006783C"/>
    <w:rsid w:val="00072A25"/>
    <w:rsid w:val="000813B0"/>
    <w:rsid w:val="0008148B"/>
    <w:rsid w:val="0008165E"/>
    <w:rsid w:val="000822DE"/>
    <w:rsid w:val="000827C3"/>
    <w:rsid w:val="00084EF9"/>
    <w:rsid w:val="000879FC"/>
    <w:rsid w:val="00092121"/>
    <w:rsid w:val="0009292C"/>
    <w:rsid w:val="000946D7"/>
    <w:rsid w:val="00097211"/>
    <w:rsid w:val="000A20A4"/>
    <w:rsid w:val="000A238F"/>
    <w:rsid w:val="000A245F"/>
    <w:rsid w:val="000A45D9"/>
    <w:rsid w:val="000A7211"/>
    <w:rsid w:val="000B0D3E"/>
    <w:rsid w:val="000B1D37"/>
    <w:rsid w:val="000B2C93"/>
    <w:rsid w:val="000B36DD"/>
    <w:rsid w:val="000B3A37"/>
    <w:rsid w:val="000B5711"/>
    <w:rsid w:val="000B6020"/>
    <w:rsid w:val="000B691A"/>
    <w:rsid w:val="000C2283"/>
    <w:rsid w:val="000C27CA"/>
    <w:rsid w:val="000C5940"/>
    <w:rsid w:val="000C59CB"/>
    <w:rsid w:val="000C5CA2"/>
    <w:rsid w:val="000C70A3"/>
    <w:rsid w:val="000D0B08"/>
    <w:rsid w:val="000D4486"/>
    <w:rsid w:val="000D5111"/>
    <w:rsid w:val="000E0BEA"/>
    <w:rsid w:val="000E3A23"/>
    <w:rsid w:val="000E4906"/>
    <w:rsid w:val="000F1FFF"/>
    <w:rsid w:val="000F24C8"/>
    <w:rsid w:val="000F3DA0"/>
    <w:rsid w:val="000F4876"/>
    <w:rsid w:val="000F555D"/>
    <w:rsid w:val="000F69A7"/>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1D9B"/>
    <w:rsid w:val="00132A80"/>
    <w:rsid w:val="00132F95"/>
    <w:rsid w:val="00132FD4"/>
    <w:rsid w:val="00135B17"/>
    <w:rsid w:val="00137D3C"/>
    <w:rsid w:val="00140FDC"/>
    <w:rsid w:val="00142BC8"/>
    <w:rsid w:val="0014307A"/>
    <w:rsid w:val="00144D0B"/>
    <w:rsid w:val="00147566"/>
    <w:rsid w:val="00147AC6"/>
    <w:rsid w:val="00151053"/>
    <w:rsid w:val="00151FBB"/>
    <w:rsid w:val="00155F96"/>
    <w:rsid w:val="00156408"/>
    <w:rsid w:val="00156A6B"/>
    <w:rsid w:val="00161DF9"/>
    <w:rsid w:val="00162CCE"/>
    <w:rsid w:val="0016573B"/>
    <w:rsid w:val="00165891"/>
    <w:rsid w:val="00170545"/>
    <w:rsid w:val="00170A4B"/>
    <w:rsid w:val="00171ADD"/>
    <w:rsid w:val="00171AEF"/>
    <w:rsid w:val="0017459B"/>
    <w:rsid w:val="00176BDF"/>
    <w:rsid w:val="0018110D"/>
    <w:rsid w:val="00182F0F"/>
    <w:rsid w:val="00183D24"/>
    <w:rsid w:val="00184897"/>
    <w:rsid w:val="001851A6"/>
    <w:rsid w:val="001873CC"/>
    <w:rsid w:val="001875A7"/>
    <w:rsid w:val="001879E1"/>
    <w:rsid w:val="0019389B"/>
    <w:rsid w:val="0019501C"/>
    <w:rsid w:val="001A1AAB"/>
    <w:rsid w:val="001A1B61"/>
    <w:rsid w:val="001A1B94"/>
    <w:rsid w:val="001A22F5"/>
    <w:rsid w:val="001A275F"/>
    <w:rsid w:val="001A3EA6"/>
    <w:rsid w:val="001A6D07"/>
    <w:rsid w:val="001A7FD2"/>
    <w:rsid w:val="001B107D"/>
    <w:rsid w:val="001B2CD9"/>
    <w:rsid w:val="001B2FF4"/>
    <w:rsid w:val="001B53F0"/>
    <w:rsid w:val="001B62A0"/>
    <w:rsid w:val="001C282F"/>
    <w:rsid w:val="001C44EF"/>
    <w:rsid w:val="001D002F"/>
    <w:rsid w:val="001D0086"/>
    <w:rsid w:val="001D0094"/>
    <w:rsid w:val="001D27C5"/>
    <w:rsid w:val="001D6BEC"/>
    <w:rsid w:val="001D7012"/>
    <w:rsid w:val="001D7BD2"/>
    <w:rsid w:val="001E0D72"/>
    <w:rsid w:val="001E2A4D"/>
    <w:rsid w:val="001E53C2"/>
    <w:rsid w:val="001F0CDF"/>
    <w:rsid w:val="001F0E9C"/>
    <w:rsid w:val="001F1540"/>
    <w:rsid w:val="001F652C"/>
    <w:rsid w:val="001F654F"/>
    <w:rsid w:val="001F739F"/>
    <w:rsid w:val="001F78D9"/>
    <w:rsid w:val="00202DB8"/>
    <w:rsid w:val="00203346"/>
    <w:rsid w:val="00205907"/>
    <w:rsid w:val="00206C91"/>
    <w:rsid w:val="00207736"/>
    <w:rsid w:val="002077E2"/>
    <w:rsid w:val="00207C12"/>
    <w:rsid w:val="00212460"/>
    <w:rsid w:val="00215D0D"/>
    <w:rsid w:val="00217AEF"/>
    <w:rsid w:val="00217C98"/>
    <w:rsid w:val="00220409"/>
    <w:rsid w:val="00220D48"/>
    <w:rsid w:val="00221EC9"/>
    <w:rsid w:val="00222302"/>
    <w:rsid w:val="00223ECD"/>
    <w:rsid w:val="002241A6"/>
    <w:rsid w:val="002241E8"/>
    <w:rsid w:val="00224774"/>
    <w:rsid w:val="002247B0"/>
    <w:rsid w:val="00224F7A"/>
    <w:rsid w:val="00225152"/>
    <w:rsid w:val="00230A86"/>
    <w:rsid w:val="00230E81"/>
    <w:rsid w:val="00231D44"/>
    <w:rsid w:val="00232673"/>
    <w:rsid w:val="00236863"/>
    <w:rsid w:val="00237C1F"/>
    <w:rsid w:val="00237D0D"/>
    <w:rsid w:val="002433A4"/>
    <w:rsid w:val="002435DC"/>
    <w:rsid w:val="00245460"/>
    <w:rsid w:val="00246654"/>
    <w:rsid w:val="00247B17"/>
    <w:rsid w:val="00250389"/>
    <w:rsid w:val="00252669"/>
    <w:rsid w:val="00254209"/>
    <w:rsid w:val="00254288"/>
    <w:rsid w:val="0025469C"/>
    <w:rsid w:val="002579CE"/>
    <w:rsid w:val="00260FEC"/>
    <w:rsid w:val="00261DD6"/>
    <w:rsid w:val="00264223"/>
    <w:rsid w:val="002657E2"/>
    <w:rsid w:val="002705D2"/>
    <w:rsid w:val="00270722"/>
    <w:rsid w:val="002727CC"/>
    <w:rsid w:val="00273679"/>
    <w:rsid w:val="00274080"/>
    <w:rsid w:val="00275356"/>
    <w:rsid w:val="00281A35"/>
    <w:rsid w:val="00283E90"/>
    <w:rsid w:val="00284486"/>
    <w:rsid w:val="00284AF4"/>
    <w:rsid w:val="00285644"/>
    <w:rsid w:val="0028581E"/>
    <w:rsid w:val="00285B21"/>
    <w:rsid w:val="00293491"/>
    <w:rsid w:val="00294F85"/>
    <w:rsid w:val="002A0FB8"/>
    <w:rsid w:val="002A17C7"/>
    <w:rsid w:val="002A6193"/>
    <w:rsid w:val="002A7BD4"/>
    <w:rsid w:val="002A7F32"/>
    <w:rsid w:val="002B20A1"/>
    <w:rsid w:val="002B226E"/>
    <w:rsid w:val="002B2E14"/>
    <w:rsid w:val="002B46D4"/>
    <w:rsid w:val="002B493B"/>
    <w:rsid w:val="002B54CF"/>
    <w:rsid w:val="002B6307"/>
    <w:rsid w:val="002C7302"/>
    <w:rsid w:val="002D1BE4"/>
    <w:rsid w:val="002D2137"/>
    <w:rsid w:val="002E0BEE"/>
    <w:rsid w:val="002E25D3"/>
    <w:rsid w:val="002E5015"/>
    <w:rsid w:val="002E7ACF"/>
    <w:rsid w:val="002F0790"/>
    <w:rsid w:val="002F0CE9"/>
    <w:rsid w:val="002F3BD0"/>
    <w:rsid w:val="00300A0B"/>
    <w:rsid w:val="00301F46"/>
    <w:rsid w:val="00303CAD"/>
    <w:rsid w:val="00306418"/>
    <w:rsid w:val="003100F3"/>
    <w:rsid w:val="00310C11"/>
    <w:rsid w:val="003141C4"/>
    <w:rsid w:val="00315492"/>
    <w:rsid w:val="00315FC8"/>
    <w:rsid w:val="00316600"/>
    <w:rsid w:val="003172EC"/>
    <w:rsid w:val="0032004C"/>
    <w:rsid w:val="00320555"/>
    <w:rsid w:val="0032170B"/>
    <w:rsid w:val="0032223F"/>
    <w:rsid w:val="00323325"/>
    <w:rsid w:val="0032342B"/>
    <w:rsid w:val="003243B0"/>
    <w:rsid w:val="00325EC0"/>
    <w:rsid w:val="003311AE"/>
    <w:rsid w:val="003340EC"/>
    <w:rsid w:val="003350FF"/>
    <w:rsid w:val="0033656D"/>
    <w:rsid w:val="0034057C"/>
    <w:rsid w:val="0034158C"/>
    <w:rsid w:val="003465CE"/>
    <w:rsid w:val="0035004A"/>
    <w:rsid w:val="00350142"/>
    <w:rsid w:val="00351AF0"/>
    <w:rsid w:val="00352F0F"/>
    <w:rsid w:val="00353B6D"/>
    <w:rsid w:val="00354920"/>
    <w:rsid w:val="00355DC6"/>
    <w:rsid w:val="00356AB6"/>
    <w:rsid w:val="003604D7"/>
    <w:rsid w:val="00361FFE"/>
    <w:rsid w:val="003632DF"/>
    <w:rsid w:val="0036351E"/>
    <w:rsid w:val="00364521"/>
    <w:rsid w:val="00365026"/>
    <w:rsid w:val="00366810"/>
    <w:rsid w:val="00367F82"/>
    <w:rsid w:val="003743C4"/>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607"/>
    <w:rsid w:val="003A0E17"/>
    <w:rsid w:val="003A357E"/>
    <w:rsid w:val="003A6E62"/>
    <w:rsid w:val="003A78B5"/>
    <w:rsid w:val="003A7BE8"/>
    <w:rsid w:val="003A7C85"/>
    <w:rsid w:val="003A7FBE"/>
    <w:rsid w:val="003B0D09"/>
    <w:rsid w:val="003B165A"/>
    <w:rsid w:val="003B2140"/>
    <w:rsid w:val="003B4DA8"/>
    <w:rsid w:val="003B5A37"/>
    <w:rsid w:val="003B5E7B"/>
    <w:rsid w:val="003B60AF"/>
    <w:rsid w:val="003C0383"/>
    <w:rsid w:val="003C28B8"/>
    <w:rsid w:val="003C6934"/>
    <w:rsid w:val="003C6BCF"/>
    <w:rsid w:val="003C7D44"/>
    <w:rsid w:val="003C7FD0"/>
    <w:rsid w:val="003D0268"/>
    <w:rsid w:val="003D0834"/>
    <w:rsid w:val="003D1A43"/>
    <w:rsid w:val="003D1A64"/>
    <w:rsid w:val="003D4CB4"/>
    <w:rsid w:val="003D7014"/>
    <w:rsid w:val="003E31E5"/>
    <w:rsid w:val="003E32ED"/>
    <w:rsid w:val="003E3A39"/>
    <w:rsid w:val="003E58C9"/>
    <w:rsid w:val="003E5CB3"/>
    <w:rsid w:val="003F172C"/>
    <w:rsid w:val="003F1CAC"/>
    <w:rsid w:val="003F578D"/>
    <w:rsid w:val="003F60AB"/>
    <w:rsid w:val="003F650B"/>
    <w:rsid w:val="003F7DE4"/>
    <w:rsid w:val="004004E9"/>
    <w:rsid w:val="004007AA"/>
    <w:rsid w:val="00400FDE"/>
    <w:rsid w:val="00402595"/>
    <w:rsid w:val="004033C7"/>
    <w:rsid w:val="004052C5"/>
    <w:rsid w:val="004100AA"/>
    <w:rsid w:val="00412203"/>
    <w:rsid w:val="0041495B"/>
    <w:rsid w:val="00417DE3"/>
    <w:rsid w:val="00420B07"/>
    <w:rsid w:val="00422869"/>
    <w:rsid w:val="00426448"/>
    <w:rsid w:val="0043257A"/>
    <w:rsid w:val="00432680"/>
    <w:rsid w:val="00436FD3"/>
    <w:rsid w:val="004406CF"/>
    <w:rsid w:val="00440BCF"/>
    <w:rsid w:val="00441804"/>
    <w:rsid w:val="004435B4"/>
    <w:rsid w:val="00443787"/>
    <w:rsid w:val="00447ADA"/>
    <w:rsid w:val="00447D21"/>
    <w:rsid w:val="0045002A"/>
    <w:rsid w:val="0046048A"/>
    <w:rsid w:val="00462202"/>
    <w:rsid w:val="00465930"/>
    <w:rsid w:val="00466346"/>
    <w:rsid w:val="00471F77"/>
    <w:rsid w:val="004751D6"/>
    <w:rsid w:val="0047664F"/>
    <w:rsid w:val="00477DBA"/>
    <w:rsid w:val="00477E20"/>
    <w:rsid w:val="00480BB8"/>
    <w:rsid w:val="00481D51"/>
    <w:rsid w:val="004826D7"/>
    <w:rsid w:val="00483966"/>
    <w:rsid w:val="0048519E"/>
    <w:rsid w:val="00485EC7"/>
    <w:rsid w:val="004860BD"/>
    <w:rsid w:val="00487430"/>
    <w:rsid w:val="00492DCA"/>
    <w:rsid w:val="0049341B"/>
    <w:rsid w:val="00495739"/>
    <w:rsid w:val="004A0A7B"/>
    <w:rsid w:val="004A0BB0"/>
    <w:rsid w:val="004A26CD"/>
    <w:rsid w:val="004A3584"/>
    <w:rsid w:val="004A5121"/>
    <w:rsid w:val="004A577A"/>
    <w:rsid w:val="004A5DC4"/>
    <w:rsid w:val="004A7025"/>
    <w:rsid w:val="004A7990"/>
    <w:rsid w:val="004B1458"/>
    <w:rsid w:val="004B1796"/>
    <w:rsid w:val="004B22D5"/>
    <w:rsid w:val="004B3610"/>
    <w:rsid w:val="004B43FB"/>
    <w:rsid w:val="004B4661"/>
    <w:rsid w:val="004B591D"/>
    <w:rsid w:val="004B7542"/>
    <w:rsid w:val="004C2B77"/>
    <w:rsid w:val="004C4ACC"/>
    <w:rsid w:val="004C7E83"/>
    <w:rsid w:val="004D0BE6"/>
    <w:rsid w:val="004D0DAE"/>
    <w:rsid w:val="004D1BDD"/>
    <w:rsid w:val="004D5DB3"/>
    <w:rsid w:val="004D7B05"/>
    <w:rsid w:val="004E2258"/>
    <w:rsid w:val="004E2E15"/>
    <w:rsid w:val="004E345F"/>
    <w:rsid w:val="004E41C7"/>
    <w:rsid w:val="004E4A74"/>
    <w:rsid w:val="004F04C2"/>
    <w:rsid w:val="004F2D88"/>
    <w:rsid w:val="004F4B65"/>
    <w:rsid w:val="004F68F9"/>
    <w:rsid w:val="00503FFD"/>
    <w:rsid w:val="005070C3"/>
    <w:rsid w:val="0050763D"/>
    <w:rsid w:val="005124DC"/>
    <w:rsid w:val="00514022"/>
    <w:rsid w:val="00516C21"/>
    <w:rsid w:val="005220BE"/>
    <w:rsid w:val="0052246F"/>
    <w:rsid w:val="0052523F"/>
    <w:rsid w:val="00531DA6"/>
    <w:rsid w:val="00535676"/>
    <w:rsid w:val="00536DE7"/>
    <w:rsid w:val="0054023A"/>
    <w:rsid w:val="00542D5F"/>
    <w:rsid w:val="005435DE"/>
    <w:rsid w:val="00543784"/>
    <w:rsid w:val="00544C28"/>
    <w:rsid w:val="00546BAE"/>
    <w:rsid w:val="00551A65"/>
    <w:rsid w:val="00552EBD"/>
    <w:rsid w:val="00553121"/>
    <w:rsid w:val="00553827"/>
    <w:rsid w:val="00555F71"/>
    <w:rsid w:val="005571FF"/>
    <w:rsid w:val="005726B1"/>
    <w:rsid w:val="005740F6"/>
    <w:rsid w:val="005743D2"/>
    <w:rsid w:val="00575DE3"/>
    <w:rsid w:val="00575E04"/>
    <w:rsid w:val="00575E2B"/>
    <w:rsid w:val="00576F74"/>
    <w:rsid w:val="005802BD"/>
    <w:rsid w:val="005816CD"/>
    <w:rsid w:val="00581C30"/>
    <w:rsid w:val="00582351"/>
    <w:rsid w:val="00583243"/>
    <w:rsid w:val="005838B6"/>
    <w:rsid w:val="00586FA8"/>
    <w:rsid w:val="005874B3"/>
    <w:rsid w:val="005877EC"/>
    <w:rsid w:val="00587F23"/>
    <w:rsid w:val="00590D04"/>
    <w:rsid w:val="00591E3A"/>
    <w:rsid w:val="005934C8"/>
    <w:rsid w:val="00593CB4"/>
    <w:rsid w:val="005A5ACC"/>
    <w:rsid w:val="005B0D7C"/>
    <w:rsid w:val="005B0E86"/>
    <w:rsid w:val="005B2349"/>
    <w:rsid w:val="005B4B02"/>
    <w:rsid w:val="005B5DEE"/>
    <w:rsid w:val="005B6854"/>
    <w:rsid w:val="005C4034"/>
    <w:rsid w:val="005C465F"/>
    <w:rsid w:val="005C651C"/>
    <w:rsid w:val="005D1427"/>
    <w:rsid w:val="005D49C8"/>
    <w:rsid w:val="005D5607"/>
    <w:rsid w:val="005E37E9"/>
    <w:rsid w:val="005F03DB"/>
    <w:rsid w:val="005F3390"/>
    <w:rsid w:val="005F3AED"/>
    <w:rsid w:val="005F7A43"/>
    <w:rsid w:val="00601C7B"/>
    <w:rsid w:val="00603A46"/>
    <w:rsid w:val="0061136D"/>
    <w:rsid w:val="00611A49"/>
    <w:rsid w:val="00613017"/>
    <w:rsid w:val="00613A54"/>
    <w:rsid w:val="00613F89"/>
    <w:rsid w:val="00616189"/>
    <w:rsid w:val="00620889"/>
    <w:rsid w:val="00621760"/>
    <w:rsid w:val="006217BB"/>
    <w:rsid w:val="00625047"/>
    <w:rsid w:val="00625BD5"/>
    <w:rsid w:val="00625DFB"/>
    <w:rsid w:val="0063244C"/>
    <w:rsid w:val="00634CEB"/>
    <w:rsid w:val="00637179"/>
    <w:rsid w:val="00637E34"/>
    <w:rsid w:val="00645AC1"/>
    <w:rsid w:val="00646100"/>
    <w:rsid w:val="006476CA"/>
    <w:rsid w:val="00647972"/>
    <w:rsid w:val="00647EEE"/>
    <w:rsid w:val="006552AE"/>
    <w:rsid w:val="00655773"/>
    <w:rsid w:val="006563CA"/>
    <w:rsid w:val="006578FC"/>
    <w:rsid w:val="006608AB"/>
    <w:rsid w:val="00664587"/>
    <w:rsid w:val="0066644C"/>
    <w:rsid w:val="00666F25"/>
    <w:rsid w:val="00667C1C"/>
    <w:rsid w:val="00673DD4"/>
    <w:rsid w:val="00673DF5"/>
    <w:rsid w:val="00674AEB"/>
    <w:rsid w:val="00677485"/>
    <w:rsid w:val="00677AD0"/>
    <w:rsid w:val="00684445"/>
    <w:rsid w:val="0068455C"/>
    <w:rsid w:val="00685328"/>
    <w:rsid w:val="006866D1"/>
    <w:rsid w:val="00686714"/>
    <w:rsid w:val="0069333E"/>
    <w:rsid w:val="00693C8E"/>
    <w:rsid w:val="00694021"/>
    <w:rsid w:val="006969BA"/>
    <w:rsid w:val="0069788A"/>
    <w:rsid w:val="006A026A"/>
    <w:rsid w:val="006A0425"/>
    <w:rsid w:val="006A1D62"/>
    <w:rsid w:val="006A4B11"/>
    <w:rsid w:val="006A6D7F"/>
    <w:rsid w:val="006B0298"/>
    <w:rsid w:val="006B0E83"/>
    <w:rsid w:val="006B5493"/>
    <w:rsid w:val="006B7359"/>
    <w:rsid w:val="006C03E6"/>
    <w:rsid w:val="006C10C0"/>
    <w:rsid w:val="006C1B1D"/>
    <w:rsid w:val="006C21E3"/>
    <w:rsid w:val="006C32BB"/>
    <w:rsid w:val="006C3747"/>
    <w:rsid w:val="006C7760"/>
    <w:rsid w:val="006C7EEA"/>
    <w:rsid w:val="006D141B"/>
    <w:rsid w:val="006D522C"/>
    <w:rsid w:val="006D56AA"/>
    <w:rsid w:val="006D7795"/>
    <w:rsid w:val="006D7ACB"/>
    <w:rsid w:val="006E00EF"/>
    <w:rsid w:val="006E1A7A"/>
    <w:rsid w:val="006E2CA1"/>
    <w:rsid w:val="006E3C12"/>
    <w:rsid w:val="006E63DC"/>
    <w:rsid w:val="006F01E7"/>
    <w:rsid w:val="006F1921"/>
    <w:rsid w:val="006F1F3A"/>
    <w:rsid w:val="006F7C7D"/>
    <w:rsid w:val="006F7EB8"/>
    <w:rsid w:val="00700188"/>
    <w:rsid w:val="00702DD7"/>
    <w:rsid w:val="00704284"/>
    <w:rsid w:val="007047D3"/>
    <w:rsid w:val="00705B73"/>
    <w:rsid w:val="00705C40"/>
    <w:rsid w:val="0071087E"/>
    <w:rsid w:val="00710E2F"/>
    <w:rsid w:val="007134D8"/>
    <w:rsid w:val="00716EEF"/>
    <w:rsid w:val="007221AE"/>
    <w:rsid w:val="007229A1"/>
    <w:rsid w:val="007235AA"/>
    <w:rsid w:val="00723D59"/>
    <w:rsid w:val="00731C4C"/>
    <w:rsid w:val="00732289"/>
    <w:rsid w:val="0073258D"/>
    <w:rsid w:val="00735519"/>
    <w:rsid w:val="00735915"/>
    <w:rsid w:val="00735C21"/>
    <w:rsid w:val="0073614A"/>
    <w:rsid w:val="00736999"/>
    <w:rsid w:val="00736FF2"/>
    <w:rsid w:val="00740C8C"/>
    <w:rsid w:val="00741AC4"/>
    <w:rsid w:val="0074285B"/>
    <w:rsid w:val="00742AC6"/>
    <w:rsid w:val="007515BC"/>
    <w:rsid w:val="00752BE0"/>
    <w:rsid w:val="007573B2"/>
    <w:rsid w:val="007574BB"/>
    <w:rsid w:val="0075764C"/>
    <w:rsid w:val="00760FE0"/>
    <w:rsid w:val="0076211E"/>
    <w:rsid w:val="00762198"/>
    <w:rsid w:val="00763CE8"/>
    <w:rsid w:val="00764A93"/>
    <w:rsid w:val="0076713B"/>
    <w:rsid w:val="00767EE7"/>
    <w:rsid w:val="00770792"/>
    <w:rsid w:val="007731B5"/>
    <w:rsid w:val="00774FFE"/>
    <w:rsid w:val="00775638"/>
    <w:rsid w:val="00775677"/>
    <w:rsid w:val="0077599A"/>
    <w:rsid w:val="00777353"/>
    <w:rsid w:val="00780CD6"/>
    <w:rsid w:val="00782EA4"/>
    <w:rsid w:val="007852C9"/>
    <w:rsid w:val="00785461"/>
    <w:rsid w:val="00786F41"/>
    <w:rsid w:val="00786FF3"/>
    <w:rsid w:val="007876CF"/>
    <w:rsid w:val="00793090"/>
    <w:rsid w:val="007961CF"/>
    <w:rsid w:val="00796F2A"/>
    <w:rsid w:val="007A0176"/>
    <w:rsid w:val="007A2F67"/>
    <w:rsid w:val="007A31C3"/>
    <w:rsid w:val="007A3918"/>
    <w:rsid w:val="007A45B4"/>
    <w:rsid w:val="007A6BE8"/>
    <w:rsid w:val="007B0E89"/>
    <w:rsid w:val="007B165D"/>
    <w:rsid w:val="007B2C38"/>
    <w:rsid w:val="007B2E54"/>
    <w:rsid w:val="007B3B15"/>
    <w:rsid w:val="007B6F5A"/>
    <w:rsid w:val="007B7498"/>
    <w:rsid w:val="007B7AEE"/>
    <w:rsid w:val="007C339B"/>
    <w:rsid w:val="007C7EB6"/>
    <w:rsid w:val="007D1624"/>
    <w:rsid w:val="007D2976"/>
    <w:rsid w:val="007D2F75"/>
    <w:rsid w:val="007D3EE9"/>
    <w:rsid w:val="007D42CB"/>
    <w:rsid w:val="007D4F8C"/>
    <w:rsid w:val="007E22E7"/>
    <w:rsid w:val="007E2F03"/>
    <w:rsid w:val="007E4232"/>
    <w:rsid w:val="007E543B"/>
    <w:rsid w:val="007E69BB"/>
    <w:rsid w:val="007E6AB8"/>
    <w:rsid w:val="007E76C0"/>
    <w:rsid w:val="007E7A32"/>
    <w:rsid w:val="007F2109"/>
    <w:rsid w:val="007F21C5"/>
    <w:rsid w:val="007F3EF1"/>
    <w:rsid w:val="00801251"/>
    <w:rsid w:val="00801BCE"/>
    <w:rsid w:val="00802515"/>
    <w:rsid w:val="00806E45"/>
    <w:rsid w:val="00806ECB"/>
    <w:rsid w:val="0081283F"/>
    <w:rsid w:val="0081480A"/>
    <w:rsid w:val="008151B0"/>
    <w:rsid w:val="008202EB"/>
    <w:rsid w:val="00823BBC"/>
    <w:rsid w:val="00824038"/>
    <w:rsid w:val="00827F88"/>
    <w:rsid w:val="008336A5"/>
    <w:rsid w:val="00835474"/>
    <w:rsid w:val="008373C0"/>
    <w:rsid w:val="00837470"/>
    <w:rsid w:val="0084145F"/>
    <w:rsid w:val="00841DA2"/>
    <w:rsid w:val="00842ED0"/>
    <w:rsid w:val="008458F6"/>
    <w:rsid w:val="00845AED"/>
    <w:rsid w:val="00845E23"/>
    <w:rsid w:val="0084708E"/>
    <w:rsid w:val="0085172B"/>
    <w:rsid w:val="00851AE4"/>
    <w:rsid w:val="008530A1"/>
    <w:rsid w:val="00854E77"/>
    <w:rsid w:val="0085598D"/>
    <w:rsid w:val="008574A3"/>
    <w:rsid w:val="00862771"/>
    <w:rsid w:val="00863412"/>
    <w:rsid w:val="00865C55"/>
    <w:rsid w:val="0086682F"/>
    <w:rsid w:val="00867291"/>
    <w:rsid w:val="00872A21"/>
    <w:rsid w:val="00876F54"/>
    <w:rsid w:val="00877292"/>
    <w:rsid w:val="0087754A"/>
    <w:rsid w:val="0087766C"/>
    <w:rsid w:val="00880552"/>
    <w:rsid w:val="00882233"/>
    <w:rsid w:val="00882DC8"/>
    <w:rsid w:val="008839DA"/>
    <w:rsid w:val="00884EE8"/>
    <w:rsid w:val="00885168"/>
    <w:rsid w:val="00890BA8"/>
    <w:rsid w:val="0089173B"/>
    <w:rsid w:val="00891E76"/>
    <w:rsid w:val="0089220F"/>
    <w:rsid w:val="008935AA"/>
    <w:rsid w:val="00893772"/>
    <w:rsid w:val="008963F0"/>
    <w:rsid w:val="0089716C"/>
    <w:rsid w:val="008A03A5"/>
    <w:rsid w:val="008A0DF3"/>
    <w:rsid w:val="008A3F26"/>
    <w:rsid w:val="008A4138"/>
    <w:rsid w:val="008A5D96"/>
    <w:rsid w:val="008B0418"/>
    <w:rsid w:val="008B2618"/>
    <w:rsid w:val="008B5C55"/>
    <w:rsid w:val="008B5C93"/>
    <w:rsid w:val="008B6848"/>
    <w:rsid w:val="008B719E"/>
    <w:rsid w:val="008C0D0C"/>
    <w:rsid w:val="008C2FA1"/>
    <w:rsid w:val="008C39EE"/>
    <w:rsid w:val="008C7EF7"/>
    <w:rsid w:val="008D2C4C"/>
    <w:rsid w:val="008D42DE"/>
    <w:rsid w:val="008D7E0D"/>
    <w:rsid w:val="008D7EDB"/>
    <w:rsid w:val="008E065E"/>
    <w:rsid w:val="008E1829"/>
    <w:rsid w:val="008E2327"/>
    <w:rsid w:val="008E232F"/>
    <w:rsid w:val="008E2560"/>
    <w:rsid w:val="008E5077"/>
    <w:rsid w:val="008E64F0"/>
    <w:rsid w:val="008E6FF3"/>
    <w:rsid w:val="008E7B05"/>
    <w:rsid w:val="008E7C2C"/>
    <w:rsid w:val="008F0314"/>
    <w:rsid w:val="008F18ED"/>
    <w:rsid w:val="008F46C2"/>
    <w:rsid w:val="008F7620"/>
    <w:rsid w:val="00901840"/>
    <w:rsid w:val="009020A8"/>
    <w:rsid w:val="00903D37"/>
    <w:rsid w:val="00907E2A"/>
    <w:rsid w:val="0091055D"/>
    <w:rsid w:val="00914C61"/>
    <w:rsid w:val="00917D6F"/>
    <w:rsid w:val="00921B1A"/>
    <w:rsid w:val="00921DDA"/>
    <w:rsid w:val="00921F37"/>
    <w:rsid w:val="009248DA"/>
    <w:rsid w:val="0092600D"/>
    <w:rsid w:val="00927A7C"/>
    <w:rsid w:val="00927D70"/>
    <w:rsid w:val="0093039D"/>
    <w:rsid w:val="00931E4F"/>
    <w:rsid w:val="0093364D"/>
    <w:rsid w:val="009345F5"/>
    <w:rsid w:val="00936574"/>
    <w:rsid w:val="00940CBD"/>
    <w:rsid w:val="00943BCE"/>
    <w:rsid w:val="00944FCB"/>
    <w:rsid w:val="00947C71"/>
    <w:rsid w:val="009528C1"/>
    <w:rsid w:val="009530F3"/>
    <w:rsid w:val="009537A1"/>
    <w:rsid w:val="00960346"/>
    <w:rsid w:val="00961771"/>
    <w:rsid w:val="009617D3"/>
    <w:rsid w:val="0096463B"/>
    <w:rsid w:val="00966214"/>
    <w:rsid w:val="00967869"/>
    <w:rsid w:val="00967901"/>
    <w:rsid w:val="00971F54"/>
    <w:rsid w:val="009725C5"/>
    <w:rsid w:val="00973F40"/>
    <w:rsid w:val="00974403"/>
    <w:rsid w:val="00974AED"/>
    <w:rsid w:val="00977B4C"/>
    <w:rsid w:val="009849EF"/>
    <w:rsid w:val="00986DB7"/>
    <w:rsid w:val="00992EF8"/>
    <w:rsid w:val="009934CF"/>
    <w:rsid w:val="009A0D75"/>
    <w:rsid w:val="009A134F"/>
    <w:rsid w:val="009A276A"/>
    <w:rsid w:val="009A347A"/>
    <w:rsid w:val="009A620E"/>
    <w:rsid w:val="009A7126"/>
    <w:rsid w:val="009A7F66"/>
    <w:rsid w:val="009B4703"/>
    <w:rsid w:val="009B548D"/>
    <w:rsid w:val="009B6A6F"/>
    <w:rsid w:val="009C1AFE"/>
    <w:rsid w:val="009C3013"/>
    <w:rsid w:val="009C325D"/>
    <w:rsid w:val="009C5F24"/>
    <w:rsid w:val="009D048B"/>
    <w:rsid w:val="009D1E41"/>
    <w:rsid w:val="009D55A7"/>
    <w:rsid w:val="009D6490"/>
    <w:rsid w:val="009D69C6"/>
    <w:rsid w:val="009E08AD"/>
    <w:rsid w:val="009E5419"/>
    <w:rsid w:val="009E5A6E"/>
    <w:rsid w:val="009F0CD3"/>
    <w:rsid w:val="009F46DC"/>
    <w:rsid w:val="00A00E99"/>
    <w:rsid w:val="00A01C00"/>
    <w:rsid w:val="00A01C04"/>
    <w:rsid w:val="00A02807"/>
    <w:rsid w:val="00A05C33"/>
    <w:rsid w:val="00A11CAD"/>
    <w:rsid w:val="00A14615"/>
    <w:rsid w:val="00A14D93"/>
    <w:rsid w:val="00A15312"/>
    <w:rsid w:val="00A1620D"/>
    <w:rsid w:val="00A16AC0"/>
    <w:rsid w:val="00A179D7"/>
    <w:rsid w:val="00A23D31"/>
    <w:rsid w:val="00A24C9B"/>
    <w:rsid w:val="00A251D9"/>
    <w:rsid w:val="00A27D2B"/>
    <w:rsid w:val="00A301A7"/>
    <w:rsid w:val="00A30C34"/>
    <w:rsid w:val="00A30FD3"/>
    <w:rsid w:val="00A3349A"/>
    <w:rsid w:val="00A35E2F"/>
    <w:rsid w:val="00A37891"/>
    <w:rsid w:val="00A40A51"/>
    <w:rsid w:val="00A43550"/>
    <w:rsid w:val="00A43A5D"/>
    <w:rsid w:val="00A44BDD"/>
    <w:rsid w:val="00A4726C"/>
    <w:rsid w:val="00A47916"/>
    <w:rsid w:val="00A536DA"/>
    <w:rsid w:val="00A571CD"/>
    <w:rsid w:val="00A57C3D"/>
    <w:rsid w:val="00A608E9"/>
    <w:rsid w:val="00A63946"/>
    <w:rsid w:val="00A63F14"/>
    <w:rsid w:val="00A6697B"/>
    <w:rsid w:val="00A74C2D"/>
    <w:rsid w:val="00A76B34"/>
    <w:rsid w:val="00A80288"/>
    <w:rsid w:val="00A83487"/>
    <w:rsid w:val="00A854FF"/>
    <w:rsid w:val="00A87035"/>
    <w:rsid w:val="00A8745D"/>
    <w:rsid w:val="00A90F9B"/>
    <w:rsid w:val="00A92694"/>
    <w:rsid w:val="00A93072"/>
    <w:rsid w:val="00A95557"/>
    <w:rsid w:val="00A95D85"/>
    <w:rsid w:val="00A961E0"/>
    <w:rsid w:val="00A9629C"/>
    <w:rsid w:val="00AA0957"/>
    <w:rsid w:val="00AA0FC8"/>
    <w:rsid w:val="00AA24D1"/>
    <w:rsid w:val="00AA35D5"/>
    <w:rsid w:val="00AA417B"/>
    <w:rsid w:val="00AA533F"/>
    <w:rsid w:val="00AA547B"/>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00A7"/>
    <w:rsid w:val="00AE1CE4"/>
    <w:rsid w:val="00AE3F3E"/>
    <w:rsid w:val="00AE47BF"/>
    <w:rsid w:val="00AF378C"/>
    <w:rsid w:val="00AF5445"/>
    <w:rsid w:val="00AF6432"/>
    <w:rsid w:val="00AF79BD"/>
    <w:rsid w:val="00B00FDF"/>
    <w:rsid w:val="00B07F12"/>
    <w:rsid w:val="00B10248"/>
    <w:rsid w:val="00B1415B"/>
    <w:rsid w:val="00B15278"/>
    <w:rsid w:val="00B176EC"/>
    <w:rsid w:val="00B200AC"/>
    <w:rsid w:val="00B20315"/>
    <w:rsid w:val="00B20C9C"/>
    <w:rsid w:val="00B234EC"/>
    <w:rsid w:val="00B244DE"/>
    <w:rsid w:val="00B274AE"/>
    <w:rsid w:val="00B274BF"/>
    <w:rsid w:val="00B303E3"/>
    <w:rsid w:val="00B31222"/>
    <w:rsid w:val="00B31347"/>
    <w:rsid w:val="00B3568F"/>
    <w:rsid w:val="00B42AFB"/>
    <w:rsid w:val="00B42E81"/>
    <w:rsid w:val="00B4329D"/>
    <w:rsid w:val="00B443F5"/>
    <w:rsid w:val="00B45E56"/>
    <w:rsid w:val="00B50BF5"/>
    <w:rsid w:val="00B514EC"/>
    <w:rsid w:val="00B520F9"/>
    <w:rsid w:val="00B52812"/>
    <w:rsid w:val="00B5495A"/>
    <w:rsid w:val="00B577A3"/>
    <w:rsid w:val="00B623FB"/>
    <w:rsid w:val="00B632A7"/>
    <w:rsid w:val="00B64641"/>
    <w:rsid w:val="00B64BEC"/>
    <w:rsid w:val="00B65AA9"/>
    <w:rsid w:val="00B66245"/>
    <w:rsid w:val="00B7262F"/>
    <w:rsid w:val="00B727C5"/>
    <w:rsid w:val="00B73FD4"/>
    <w:rsid w:val="00B74FC5"/>
    <w:rsid w:val="00B75A6C"/>
    <w:rsid w:val="00B82F2D"/>
    <w:rsid w:val="00B83E2A"/>
    <w:rsid w:val="00B83E38"/>
    <w:rsid w:val="00B847D3"/>
    <w:rsid w:val="00B85DF3"/>
    <w:rsid w:val="00B8653B"/>
    <w:rsid w:val="00B86C19"/>
    <w:rsid w:val="00B9020C"/>
    <w:rsid w:val="00B92EDF"/>
    <w:rsid w:val="00B93510"/>
    <w:rsid w:val="00B93A57"/>
    <w:rsid w:val="00B93E33"/>
    <w:rsid w:val="00B946EF"/>
    <w:rsid w:val="00B954F3"/>
    <w:rsid w:val="00B95AE8"/>
    <w:rsid w:val="00B95BCD"/>
    <w:rsid w:val="00B95CDC"/>
    <w:rsid w:val="00B95CE5"/>
    <w:rsid w:val="00B96956"/>
    <w:rsid w:val="00B96A65"/>
    <w:rsid w:val="00BA0D0B"/>
    <w:rsid w:val="00BA0E0B"/>
    <w:rsid w:val="00BA0F37"/>
    <w:rsid w:val="00BB0B9E"/>
    <w:rsid w:val="00BB375D"/>
    <w:rsid w:val="00BB49A0"/>
    <w:rsid w:val="00BB515F"/>
    <w:rsid w:val="00BB5F75"/>
    <w:rsid w:val="00BC1FA5"/>
    <w:rsid w:val="00BC207C"/>
    <w:rsid w:val="00BC2C0C"/>
    <w:rsid w:val="00BC5E14"/>
    <w:rsid w:val="00BC732A"/>
    <w:rsid w:val="00BC758B"/>
    <w:rsid w:val="00BD06BD"/>
    <w:rsid w:val="00BD2EAC"/>
    <w:rsid w:val="00BD459D"/>
    <w:rsid w:val="00BD4BB3"/>
    <w:rsid w:val="00BE17C6"/>
    <w:rsid w:val="00BE2AE9"/>
    <w:rsid w:val="00BE2BD3"/>
    <w:rsid w:val="00BE40BA"/>
    <w:rsid w:val="00BE4865"/>
    <w:rsid w:val="00BE69BF"/>
    <w:rsid w:val="00BE725A"/>
    <w:rsid w:val="00BE7430"/>
    <w:rsid w:val="00BE7B48"/>
    <w:rsid w:val="00BF3381"/>
    <w:rsid w:val="00C02655"/>
    <w:rsid w:val="00C04B28"/>
    <w:rsid w:val="00C07B97"/>
    <w:rsid w:val="00C10FCF"/>
    <w:rsid w:val="00C16B4B"/>
    <w:rsid w:val="00C17427"/>
    <w:rsid w:val="00C20C00"/>
    <w:rsid w:val="00C210FD"/>
    <w:rsid w:val="00C22901"/>
    <w:rsid w:val="00C23344"/>
    <w:rsid w:val="00C24848"/>
    <w:rsid w:val="00C25238"/>
    <w:rsid w:val="00C305F2"/>
    <w:rsid w:val="00C31E5F"/>
    <w:rsid w:val="00C3345C"/>
    <w:rsid w:val="00C3370C"/>
    <w:rsid w:val="00C36BF2"/>
    <w:rsid w:val="00C372A0"/>
    <w:rsid w:val="00C404D8"/>
    <w:rsid w:val="00C407E5"/>
    <w:rsid w:val="00C42DAC"/>
    <w:rsid w:val="00C4342B"/>
    <w:rsid w:val="00C437DF"/>
    <w:rsid w:val="00C459A9"/>
    <w:rsid w:val="00C46183"/>
    <w:rsid w:val="00C502A5"/>
    <w:rsid w:val="00C5158B"/>
    <w:rsid w:val="00C521F7"/>
    <w:rsid w:val="00C53008"/>
    <w:rsid w:val="00C55151"/>
    <w:rsid w:val="00C558FF"/>
    <w:rsid w:val="00C560FA"/>
    <w:rsid w:val="00C570C5"/>
    <w:rsid w:val="00C57FF9"/>
    <w:rsid w:val="00C614A6"/>
    <w:rsid w:val="00C61A0D"/>
    <w:rsid w:val="00C632D0"/>
    <w:rsid w:val="00C64434"/>
    <w:rsid w:val="00C64BCC"/>
    <w:rsid w:val="00C6603A"/>
    <w:rsid w:val="00C7063C"/>
    <w:rsid w:val="00C727D4"/>
    <w:rsid w:val="00C73014"/>
    <w:rsid w:val="00C73C57"/>
    <w:rsid w:val="00C74D43"/>
    <w:rsid w:val="00C75B0C"/>
    <w:rsid w:val="00C75CA7"/>
    <w:rsid w:val="00C8079B"/>
    <w:rsid w:val="00C901BB"/>
    <w:rsid w:val="00C90CD3"/>
    <w:rsid w:val="00C91584"/>
    <w:rsid w:val="00C92098"/>
    <w:rsid w:val="00C92552"/>
    <w:rsid w:val="00C9316C"/>
    <w:rsid w:val="00C93F1B"/>
    <w:rsid w:val="00C976D1"/>
    <w:rsid w:val="00CA71D4"/>
    <w:rsid w:val="00CB0393"/>
    <w:rsid w:val="00CB27BE"/>
    <w:rsid w:val="00CB5860"/>
    <w:rsid w:val="00CB5D29"/>
    <w:rsid w:val="00CB675A"/>
    <w:rsid w:val="00CB73C9"/>
    <w:rsid w:val="00CB782B"/>
    <w:rsid w:val="00CB7DA8"/>
    <w:rsid w:val="00CC0049"/>
    <w:rsid w:val="00CC0E77"/>
    <w:rsid w:val="00CC2092"/>
    <w:rsid w:val="00CC3E9E"/>
    <w:rsid w:val="00CC5E76"/>
    <w:rsid w:val="00CC7B01"/>
    <w:rsid w:val="00CD3A5D"/>
    <w:rsid w:val="00CD5FD4"/>
    <w:rsid w:val="00CD64C9"/>
    <w:rsid w:val="00CD64FF"/>
    <w:rsid w:val="00CD7D0E"/>
    <w:rsid w:val="00CE00C1"/>
    <w:rsid w:val="00CE0DCE"/>
    <w:rsid w:val="00CE1BC9"/>
    <w:rsid w:val="00CE24A9"/>
    <w:rsid w:val="00CE33C1"/>
    <w:rsid w:val="00CE3764"/>
    <w:rsid w:val="00CE4DD6"/>
    <w:rsid w:val="00CE6470"/>
    <w:rsid w:val="00CE76FF"/>
    <w:rsid w:val="00CF24DC"/>
    <w:rsid w:val="00CF4012"/>
    <w:rsid w:val="00CF5C25"/>
    <w:rsid w:val="00CF67BE"/>
    <w:rsid w:val="00D02BC6"/>
    <w:rsid w:val="00D0310D"/>
    <w:rsid w:val="00D05803"/>
    <w:rsid w:val="00D05C7C"/>
    <w:rsid w:val="00D06906"/>
    <w:rsid w:val="00D07742"/>
    <w:rsid w:val="00D1276A"/>
    <w:rsid w:val="00D14DB7"/>
    <w:rsid w:val="00D15922"/>
    <w:rsid w:val="00D15ED5"/>
    <w:rsid w:val="00D2069D"/>
    <w:rsid w:val="00D215C4"/>
    <w:rsid w:val="00D22B6A"/>
    <w:rsid w:val="00D315F9"/>
    <w:rsid w:val="00D32958"/>
    <w:rsid w:val="00D342AC"/>
    <w:rsid w:val="00D348F7"/>
    <w:rsid w:val="00D3675C"/>
    <w:rsid w:val="00D37F65"/>
    <w:rsid w:val="00D40BC3"/>
    <w:rsid w:val="00D434EC"/>
    <w:rsid w:val="00D44E9D"/>
    <w:rsid w:val="00D45B9A"/>
    <w:rsid w:val="00D46946"/>
    <w:rsid w:val="00D46A29"/>
    <w:rsid w:val="00D472A7"/>
    <w:rsid w:val="00D5057F"/>
    <w:rsid w:val="00D53F2C"/>
    <w:rsid w:val="00D546DC"/>
    <w:rsid w:val="00D57069"/>
    <w:rsid w:val="00D606D1"/>
    <w:rsid w:val="00D61649"/>
    <w:rsid w:val="00D61A0E"/>
    <w:rsid w:val="00D621BB"/>
    <w:rsid w:val="00D67428"/>
    <w:rsid w:val="00D706A6"/>
    <w:rsid w:val="00D71CF9"/>
    <w:rsid w:val="00D80F9D"/>
    <w:rsid w:val="00D81BAE"/>
    <w:rsid w:val="00D84B17"/>
    <w:rsid w:val="00D8507D"/>
    <w:rsid w:val="00D86735"/>
    <w:rsid w:val="00D8718E"/>
    <w:rsid w:val="00D871FB"/>
    <w:rsid w:val="00D9051E"/>
    <w:rsid w:val="00D9081D"/>
    <w:rsid w:val="00D90C9D"/>
    <w:rsid w:val="00D90E57"/>
    <w:rsid w:val="00D91910"/>
    <w:rsid w:val="00D91AA8"/>
    <w:rsid w:val="00D91F7D"/>
    <w:rsid w:val="00D944A6"/>
    <w:rsid w:val="00D9461E"/>
    <w:rsid w:val="00D94DF6"/>
    <w:rsid w:val="00D95B92"/>
    <w:rsid w:val="00D9652C"/>
    <w:rsid w:val="00D96FC3"/>
    <w:rsid w:val="00DA12C3"/>
    <w:rsid w:val="00DA495D"/>
    <w:rsid w:val="00DA7B48"/>
    <w:rsid w:val="00DA7BA0"/>
    <w:rsid w:val="00DB469A"/>
    <w:rsid w:val="00DB4B0F"/>
    <w:rsid w:val="00DB52C3"/>
    <w:rsid w:val="00DB5DA3"/>
    <w:rsid w:val="00DB760D"/>
    <w:rsid w:val="00DB7E5F"/>
    <w:rsid w:val="00DC10B0"/>
    <w:rsid w:val="00DC1594"/>
    <w:rsid w:val="00DC1BA4"/>
    <w:rsid w:val="00DC4B70"/>
    <w:rsid w:val="00DC4BCD"/>
    <w:rsid w:val="00DC4CF9"/>
    <w:rsid w:val="00DC766B"/>
    <w:rsid w:val="00DD1107"/>
    <w:rsid w:val="00DD178F"/>
    <w:rsid w:val="00DD1FE4"/>
    <w:rsid w:val="00DD2111"/>
    <w:rsid w:val="00DD6CAE"/>
    <w:rsid w:val="00DE2966"/>
    <w:rsid w:val="00DE30BA"/>
    <w:rsid w:val="00DE4107"/>
    <w:rsid w:val="00DE4798"/>
    <w:rsid w:val="00DE594C"/>
    <w:rsid w:val="00DF0B5E"/>
    <w:rsid w:val="00DF0ED5"/>
    <w:rsid w:val="00DF72D9"/>
    <w:rsid w:val="00DF7EC8"/>
    <w:rsid w:val="00E01CD7"/>
    <w:rsid w:val="00E028ED"/>
    <w:rsid w:val="00E04A4C"/>
    <w:rsid w:val="00E07F68"/>
    <w:rsid w:val="00E104F6"/>
    <w:rsid w:val="00E10748"/>
    <w:rsid w:val="00E12F57"/>
    <w:rsid w:val="00E14084"/>
    <w:rsid w:val="00E14282"/>
    <w:rsid w:val="00E15695"/>
    <w:rsid w:val="00E15EF6"/>
    <w:rsid w:val="00E2095A"/>
    <w:rsid w:val="00E20FF6"/>
    <w:rsid w:val="00E2668C"/>
    <w:rsid w:val="00E27DDF"/>
    <w:rsid w:val="00E27E01"/>
    <w:rsid w:val="00E30A90"/>
    <w:rsid w:val="00E32DBA"/>
    <w:rsid w:val="00E350F4"/>
    <w:rsid w:val="00E37317"/>
    <w:rsid w:val="00E43469"/>
    <w:rsid w:val="00E445DA"/>
    <w:rsid w:val="00E45379"/>
    <w:rsid w:val="00E46352"/>
    <w:rsid w:val="00E46F05"/>
    <w:rsid w:val="00E50B22"/>
    <w:rsid w:val="00E51E18"/>
    <w:rsid w:val="00E533BD"/>
    <w:rsid w:val="00E53706"/>
    <w:rsid w:val="00E57CE2"/>
    <w:rsid w:val="00E617BD"/>
    <w:rsid w:val="00E705B4"/>
    <w:rsid w:val="00E714FE"/>
    <w:rsid w:val="00E72967"/>
    <w:rsid w:val="00E741E2"/>
    <w:rsid w:val="00E7698D"/>
    <w:rsid w:val="00E8155D"/>
    <w:rsid w:val="00E82582"/>
    <w:rsid w:val="00E84495"/>
    <w:rsid w:val="00E85A2E"/>
    <w:rsid w:val="00E92241"/>
    <w:rsid w:val="00E94F09"/>
    <w:rsid w:val="00E9757B"/>
    <w:rsid w:val="00EA0E04"/>
    <w:rsid w:val="00EA220D"/>
    <w:rsid w:val="00EA2B75"/>
    <w:rsid w:val="00EA3156"/>
    <w:rsid w:val="00EA40A2"/>
    <w:rsid w:val="00EA4CD5"/>
    <w:rsid w:val="00EA5D2C"/>
    <w:rsid w:val="00EA5D8E"/>
    <w:rsid w:val="00EB0760"/>
    <w:rsid w:val="00EB07CF"/>
    <w:rsid w:val="00EB3B88"/>
    <w:rsid w:val="00EB5E78"/>
    <w:rsid w:val="00EB69FE"/>
    <w:rsid w:val="00EB6B5B"/>
    <w:rsid w:val="00EB71D5"/>
    <w:rsid w:val="00EC30ED"/>
    <w:rsid w:val="00EC3B8F"/>
    <w:rsid w:val="00EC5CA0"/>
    <w:rsid w:val="00EC7372"/>
    <w:rsid w:val="00ED30E8"/>
    <w:rsid w:val="00ED3B69"/>
    <w:rsid w:val="00ED6CD1"/>
    <w:rsid w:val="00ED79A8"/>
    <w:rsid w:val="00EE5F2E"/>
    <w:rsid w:val="00EF28DE"/>
    <w:rsid w:val="00EF378C"/>
    <w:rsid w:val="00EF436A"/>
    <w:rsid w:val="00EF4A64"/>
    <w:rsid w:val="00EF6C64"/>
    <w:rsid w:val="00EF6C74"/>
    <w:rsid w:val="00EF6D62"/>
    <w:rsid w:val="00EF6E2E"/>
    <w:rsid w:val="00EF7AFC"/>
    <w:rsid w:val="00F02171"/>
    <w:rsid w:val="00F033EF"/>
    <w:rsid w:val="00F04D7B"/>
    <w:rsid w:val="00F061A6"/>
    <w:rsid w:val="00F07AB3"/>
    <w:rsid w:val="00F11AB3"/>
    <w:rsid w:val="00F143B3"/>
    <w:rsid w:val="00F16866"/>
    <w:rsid w:val="00F20633"/>
    <w:rsid w:val="00F25CFE"/>
    <w:rsid w:val="00F318E7"/>
    <w:rsid w:val="00F35243"/>
    <w:rsid w:val="00F355EE"/>
    <w:rsid w:val="00F377D1"/>
    <w:rsid w:val="00F4018F"/>
    <w:rsid w:val="00F43029"/>
    <w:rsid w:val="00F43AC4"/>
    <w:rsid w:val="00F43E6E"/>
    <w:rsid w:val="00F44423"/>
    <w:rsid w:val="00F46E90"/>
    <w:rsid w:val="00F4722F"/>
    <w:rsid w:val="00F477F2"/>
    <w:rsid w:val="00F51236"/>
    <w:rsid w:val="00F529BC"/>
    <w:rsid w:val="00F5374C"/>
    <w:rsid w:val="00F541B8"/>
    <w:rsid w:val="00F56CC2"/>
    <w:rsid w:val="00F574B7"/>
    <w:rsid w:val="00F60BC0"/>
    <w:rsid w:val="00F61B7F"/>
    <w:rsid w:val="00F620C5"/>
    <w:rsid w:val="00F62370"/>
    <w:rsid w:val="00F628D3"/>
    <w:rsid w:val="00F6497E"/>
    <w:rsid w:val="00F677E2"/>
    <w:rsid w:val="00F70349"/>
    <w:rsid w:val="00F70B17"/>
    <w:rsid w:val="00F71280"/>
    <w:rsid w:val="00F73751"/>
    <w:rsid w:val="00F755E1"/>
    <w:rsid w:val="00F75EAD"/>
    <w:rsid w:val="00F77154"/>
    <w:rsid w:val="00F776AE"/>
    <w:rsid w:val="00F80F33"/>
    <w:rsid w:val="00F82119"/>
    <w:rsid w:val="00F846D6"/>
    <w:rsid w:val="00F87342"/>
    <w:rsid w:val="00F9173A"/>
    <w:rsid w:val="00F91800"/>
    <w:rsid w:val="00F91951"/>
    <w:rsid w:val="00F91CC8"/>
    <w:rsid w:val="00F92979"/>
    <w:rsid w:val="00F94E99"/>
    <w:rsid w:val="00F9650A"/>
    <w:rsid w:val="00F967C7"/>
    <w:rsid w:val="00FA0437"/>
    <w:rsid w:val="00FA233F"/>
    <w:rsid w:val="00FA2E05"/>
    <w:rsid w:val="00FA5EF4"/>
    <w:rsid w:val="00FA7D57"/>
    <w:rsid w:val="00FB0008"/>
    <w:rsid w:val="00FB071C"/>
    <w:rsid w:val="00FB2416"/>
    <w:rsid w:val="00FB3EA0"/>
    <w:rsid w:val="00FB55F4"/>
    <w:rsid w:val="00FB64C4"/>
    <w:rsid w:val="00FC0B63"/>
    <w:rsid w:val="00FC0C4D"/>
    <w:rsid w:val="00FC1754"/>
    <w:rsid w:val="00FC2209"/>
    <w:rsid w:val="00FC409F"/>
    <w:rsid w:val="00FC61CE"/>
    <w:rsid w:val="00FC7531"/>
    <w:rsid w:val="00FC7EAA"/>
    <w:rsid w:val="00FD4FA5"/>
    <w:rsid w:val="00FD5166"/>
    <w:rsid w:val="00FE3EDA"/>
    <w:rsid w:val="00FF4218"/>
    <w:rsid w:val="00FF456A"/>
    <w:rsid w:val="00FF458E"/>
    <w:rsid w:val="00FF503A"/>
    <w:rsid w:val="00FF5C12"/>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95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Listaconvietas">
    <w:name w:val="List Bullet"/>
    <w:basedOn w:val="Normal"/>
    <w:uiPriority w:val="99"/>
    <w:unhideWhenUsed/>
    <w:rsid w:val="00C02655"/>
    <w:pPr>
      <w:numPr>
        <w:numId w:val="16"/>
      </w:numPr>
      <w:contextualSpacing/>
    </w:pPr>
  </w:style>
  <w:style w:type="character" w:customStyle="1" w:styleId="date-display-single">
    <w:name w:val="date-display-single"/>
    <w:basedOn w:val="Fuentedeprrafopredeter"/>
    <w:rsid w:val="00D67428"/>
  </w:style>
  <w:style w:type="paragraph" w:customStyle="1" w:styleId="rtecenter">
    <w:name w:val="rtecenter"/>
    <w:basedOn w:val="Normal"/>
    <w:rsid w:val="00D67428"/>
    <w:pPr>
      <w:spacing w:before="100" w:beforeAutospacing="1" w:after="100" w:afterAutospacing="1"/>
    </w:pPr>
    <w:rPr>
      <w:sz w:val="24"/>
      <w:szCs w:val="24"/>
      <w:lang w:eastAsia="es-MX"/>
    </w:rPr>
  </w:style>
  <w:style w:type="paragraph" w:customStyle="1" w:styleId="rtejustify">
    <w:name w:val="rtejustify"/>
    <w:basedOn w:val="Normal"/>
    <w:rsid w:val="00D67428"/>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8117710">
      <w:bodyDiv w:val="1"/>
      <w:marLeft w:val="0"/>
      <w:marRight w:val="0"/>
      <w:marTop w:val="0"/>
      <w:marBottom w:val="0"/>
      <w:divBdr>
        <w:top w:val="none" w:sz="0" w:space="0" w:color="auto"/>
        <w:left w:val="none" w:sz="0" w:space="0" w:color="auto"/>
        <w:bottom w:val="none" w:sz="0" w:space="0" w:color="auto"/>
        <w:right w:val="none" w:sz="0" w:space="0" w:color="auto"/>
      </w:divBdr>
      <w:divsChild>
        <w:div w:id="200246614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913642">
      <w:bodyDiv w:val="1"/>
      <w:marLeft w:val="0"/>
      <w:marRight w:val="0"/>
      <w:marTop w:val="0"/>
      <w:marBottom w:val="0"/>
      <w:divBdr>
        <w:top w:val="none" w:sz="0" w:space="0" w:color="auto"/>
        <w:left w:val="none" w:sz="0" w:space="0" w:color="auto"/>
        <w:bottom w:val="none" w:sz="0" w:space="0" w:color="auto"/>
        <w:right w:val="none" w:sz="0" w:space="0" w:color="auto"/>
      </w:divBdr>
      <w:divsChild>
        <w:div w:id="1422337801">
          <w:marLeft w:val="0"/>
          <w:marRight w:val="0"/>
          <w:marTop w:val="0"/>
          <w:marBottom w:val="0"/>
          <w:divBdr>
            <w:top w:val="none" w:sz="0" w:space="0" w:color="auto"/>
            <w:left w:val="none" w:sz="0" w:space="0" w:color="auto"/>
            <w:bottom w:val="none" w:sz="0" w:space="0" w:color="auto"/>
            <w:right w:val="none" w:sz="0" w:space="0" w:color="auto"/>
          </w:divBdr>
          <w:divsChild>
            <w:div w:id="7337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3410">
      <w:bodyDiv w:val="1"/>
      <w:marLeft w:val="0"/>
      <w:marRight w:val="0"/>
      <w:marTop w:val="0"/>
      <w:marBottom w:val="0"/>
      <w:divBdr>
        <w:top w:val="none" w:sz="0" w:space="0" w:color="auto"/>
        <w:left w:val="none" w:sz="0" w:space="0" w:color="auto"/>
        <w:bottom w:val="none" w:sz="0" w:space="0" w:color="auto"/>
        <w:right w:val="none" w:sz="0" w:space="0" w:color="auto"/>
      </w:divBdr>
      <w:divsChild>
        <w:div w:id="503668619">
          <w:marLeft w:val="0"/>
          <w:marRight w:val="0"/>
          <w:marTop w:val="0"/>
          <w:marBottom w:val="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6735615">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5682779">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2171032">
      <w:bodyDiv w:val="1"/>
      <w:marLeft w:val="0"/>
      <w:marRight w:val="0"/>
      <w:marTop w:val="0"/>
      <w:marBottom w:val="0"/>
      <w:divBdr>
        <w:top w:val="none" w:sz="0" w:space="0" w:color="auto"/>
        <w:left w:val="none" w:sz="0" w:space="0" w:color="auto"/>
        <w:bottom w:val="none" w:sz="0" w:space="0" w:color="auto"/>
        <w:right w:val="none" w:sz="0" w:space="0" w:color="auto"/>
      </w:divBdr>
      <w:divsChild>
        <w:div w:id="1980306887">
          <w:marLeft w:val="0"/>
          <w:marRight w:val="0"/>
          <w:marTop w:val="0"/>
          <w:marBottom w:val="0"/>
          <w:divBdr>
            <w:top w:val="none" w:sz="0" w:space="0" w:color="auto"/>
            <w:left w:val="none" w:sz="0" w:space="0" w:color="auto"/>
            <w:bottom w:val="none" w:sz="0" w:space="0" w:color="auto"/>
            <w:right w:val="none" w:sz="0" w:space="0" w:color="auto"/>
          </w:divBdr>
          <w:divsChild>
            <w:div w:id="6775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6296273">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616640">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466826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emym.gob.mx/ley_2019" TargetMode="External"/><Relationship Id="rId13" Type="http://schemas.openxmlformats.org/officeDocument/2006/relationships/hyperlink" Target="http://legislacion.edomex.gob.mx/sites/legislacion.edomex.gob.mx/files/files/pdf/gct/2018/dic31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islacion.edomex.gob.mx/decretos_del_legislativ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l.gobernacion.gob.mx/Glosario/definicionpop.php?ID=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emym.gob.mx/ley_2019" TargetMode="External"/><Relationship Id="rId5" Type="http://schemas.openxmlformats.org/officeDocument/2006/relationships/webSettings" Target="webSettings.xml"/><Relationship Id="rId15" Type="http://schemas.openxmlformats.org/officeDocument/2006/relationships/hyperlink" Target="https://sjf.scjn.gob.mx/SJFSist/Documentos/Tesis/210/210795.pdf" TargetMode="External"/><Relationship Id="rId10" Type="http://schemas.openxmlformats.org/officeDocument/2006/relationships/hyperlink" Target="http://www.issemym.gob.mx/ley_201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ssemym.gob.mx/ley_2019"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B2662-D8CA-4A99-B767-81AA433C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6772</Words>
  <Characters>37249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2018-10-17T21:03:00Z</cp:lastPrinted>
  <dcterms:created xsi:type="dcterms:W3CDTF">2019-02-18T05:51:00Z</dcterms:created>
  <dcterms:modified xsi:type="dcterms:W3CDTF">2019-03-15T17:53:00Z</dcterms:modified>
</cp:coreProperties>
</file>